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1A4A6" w14:textId="67DDE581" w:rsidR="008F73A7" w:rsidRPr="009A6027" w:rsidRDefault="008F73A7" w:rsidP="004D29B8">
      <w:pPr>
        <w:jc w:val="center"/>
        <w:rPr>
          <w:rFonts w:ascii="Times New Roman" w:eastAsia="標楷體" w:hAnsi="Times New Roman" w:cs="Times New Roman" w:hint="eastAsia"/>
          <w:b/>
          <w:bCs/>
          <w:sz w:val="36"/>
          <w:szCs w:val="36"/>
        </w:rPr>
      </w:pPr>
      <w:r w:rsidRPr="009A6027">
        <w:rPr>
          <w:rFonts w:ascii="Times New Roman" w:eastAsia="標楷體" w:hAnsi="Times New Roman" w:cs="Times New Roman" w:hint="eastAsia"/>
          <w:b/>
          <w:bCs/>
          <w:sz w:val="36"/>
          <w:szCs w:val="36"/>
        </w:rPr>
        <w:t>金融機構辦理永續</w:t>
      </w:r>
      <w:r w:rsidR="007B0C36">
        <w:rPr>
          <w:rFonts w:ascii="Times New Roman" w:eastAsia="標楷體" w:hAnsi="Times New Roman" w:cs="Times New Roman" w:hint="eastAsia"/>
          <w:b/>
          <w:bCs/>
          <w:sz w:val="36"/>
          <w:szCs w:val="36"/>
        </w:rPr>
        <w:t>金融</w:t>
      </w:r>
      <w:r w:rsidRPr="009A6027">
        <w:rPr>
          <w:rFonts w:ascii="Times New Roman" w:eastAsia="標楷體" w:hAnsi="Times New Roman" w:cs="Times New Roman" w:hint="eastAsia"/>
          <w:b/>
          <w:bCs/>
          <w:sz w:val="36"/>
          <w:szCs w:val="36"/>
        </w:rPr>
        <w:t>業務現況調查表</w:t>
      </w:r>
    </w:p>
    <w:p w14:paraId="23D6D83F" w14:textId="77777777" w:rsidR="008F73A7" w:rsidRPr="0093390D" w:rsidRDefault="008F73A7" w:rsidP="009A6027">
      <w:pPr>
        <w:spacing w:beforeLines="100" w:before="360" w:afterLines="25" w:after="90" w:line="240" w:lineRule="exact"/>
        <w:jc w:val="right"/>
        <w:rPr>
          <w:rFonts w:eastAsia="標楷體"/>
        </w:rPr>
      </w:pPr>
      <w:r w:rsidRPr="0093390D">
        <w:rPr>
          <w:rFonts w:ascii="標楷體" w:eastAsia="標楷體" w:hAnsi="標楷體" w:hint="eastAsia"/>
        </w:rPr>
        <w:t>○○</w:t>
      </w:r>
      <w:r w:rsidRPr="0093390D">
        <w:rPr>
          <w:rFonts w:eastAsia="標楷體" w:hint="eastAsia"/>
        </w:rPr>
        <w:t>年</w:t>
      </w:r>
      <w:r w:rsidRPr="0093390D">
        <w:rPr>
          <w:rFonts w:ascii="標楷體" w:eastAsia="標楷體" w:hAnsi="標楷體" w:hint="eastAsia"/>
        </w:rPr>
        <w:t>○○</w:t>
      </w:r>
      <w:r w:rsidRPr="0093390D">
        <w:rPr>
          <w:rFonts w:eastAsia="標楷體" w:hint="eastAsia"/>
        </w:rPr>
        <w:t>月</w:t>
      </w:r>
    </w:p>
    <w:tbl>
      <w:tblPr>
        <w:tblStyle w:val="a3"/>
        <w:tblW w:w="10773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3"/>
      </w:tblGrid>
      <w:tr w:rsidR="008F73A7" w:rsidRPr="008F73A7" w14:paraId="02C92697" w14:textId="77777777" w:rsidTr="009A6027">
        <w:tc>
          <w:tcPr>
            <w:tcW w:w="107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432A583" w14:textId="77777777" w:rsidR="008F73A7" w:rsidRPr="008F73A7" w:rsidRDefault="008F73A7" w:rsidP="008F73A7">
            <w:pPr>
              <w:spacing w:beforeLines="10" w:before="36"/>
              <w:rPr>
                <w:rFonts w:ascii="Times New Roman" w:eastAsia="標楷體" w:hAnsi="Times New Roman" w:cs="Times New Roman"/>
              </w:rPr>
            </w:pPr>
            <w:r w:rsidRPr="008F73A7">
              <w:rPr>
                <w:rFonts w:ascii="Times New Roman" w:eastAsia="標楷體" w:hAnsi="Times New Roman" w:cs="Times New Roman"/>
              </w:rPr>
              <w:t>敬啟者</w:t>
            </w:r>
            <w:r w:rsidRPr="008F73A7">
              <w:rPr>
                <w:rFonts w:ascii="Times New Roman" w:hAnsi="Times New Roman" w:cs="Times New Roman"/>
              </w:rPr>
              <w:t>：</w:t>
            </w:r>
          </w:p>
          <w:p w14:paraId="260434AF" w14:textId="4BDFC113" w:rsidR="008F73A7" w:rsidRPr="008F73A7" w:rsidRDefault="008F73A7" w:rsidP="009A6027">
            <w:pPr>
              <w:spacing w:beforeLines="25" w:before="90" w:line="320" w:lineRule="exact"/>
              <w:jc w:val="both"/>
              <w:rPr>
                <w:rFonts w:ascii="Times New Roman" w:eastAsia="標楷體" w:hAnsi="Times New Roman" w:cs="Times New Roman"/>
              </w:rPr>
            </w:pPr>
            <w:r w:rsidRPr="008F73A7">
              <w:rPr>
                <w:rFonts w:ascii="Times New Roman" w:eastAsia="標楷體" w:hAnsi="Times New Roman" w:cs="Times New Roman"/>
              </w:rPr>
              <w:t>為瞭解</w:t>
            </w:r>
            <w:r w:rsidRPr="008F73A7">
              <w:rPr>
                <w:rFonts w:ascii="Times New Roman" w:eastAsia="標楷體" w:hAnsi="Times New Roman" w:cs="Times New Roman"/>
              </w:rPr>
              <w:t xml:space="preserve"> </w:t>
            </w:r>
            <w:r w:rsidRPr="008F73A7">
              <w:rPr>
                <w:rFonts w:ascii="Times New Roman" w:eastAsia="標楷體" w:hAnsi="Times New Roman" w:cs="Times New Roman"/>
              </w:rPr>
              <w:t>貴公司推動永續金融</w:t>
            </w:r>
            <w:r w:rsidRPr="008F73A7">
              <w:rPr>
                <w:rFonts w:ascii="Times New Roman" w:hAnsi="Times New Roman" w:cs="Times New Roman"/>
              </w:rPr>
              <w:t>【</w:t>
            </w:r>
            <w:r w:rsidRPr="008F73A7">
              <w:rPr>
                <w:rFonts w:ascii="Times New Roman" w:eastAsia="標楷體" w:hAnsi="Times New Roman" w:cs="Times New Roman"/>
              </w:rPr>
              <w:t>環境</w:t>
            </w:r>
            <w:r w:rsidRPr="008F73A7">
              <w:rPr>
                <w:rFonts w:ascii="Times New Roman" w:hAnsi="Times New Roman" w:cs="Times New Roman"/>
              </w:rPr>
              <w:t>、</w:t>
            </w:r>
            <w:r w:rsidRPr="008F73A7">
              <w:rPr>
                <w:rFonts w:ascii="Times New Roman" w:eastAsia="標楷體" w:hAnsi="Times New Roman" w:cs="Times New Roman"/>
              </w:rPr>
              <w:t>社會</w:t>
            </w:r>
            <w:r w:rsidRPr="008F73A7">
              <w:rPr>
                <w:rFonts w:ascii="Times New Roman" w:hAnsi="Times New Roman" w:cs="Times New Roman"/>
              </w:rPr>
              <w:t>、</w:t>
            </w:r>
            <w:r w:rsidRPr="008F73A7">
              <w:rPr>
                <w:rFonts w:ascii="Times New Roman" w:eastAsia="標楷體" w:hAnsi="Times New Roman" w:cs="Times New Roman"/>
              </w:rPr>
              <w:t>治理</w:t>
            </w:r>
            <w:r w:rsidRPr="008F73A7">
              <w:rPr>
                <w:rFonts w:ascii="Times New Roman" w:eastAsia="標楷體" w:hAnsi="Times New Roman" w:cs="Times New Roman"/>
              </w:rPr>
              <w:t>(Environmental Social and Governance)</w:t>
            </w:r>
            <w:r w:rsidRPr="008F73A7">
              <w:rPr>
                <w:rFonts w:ascii="Times New Roman" w:hAnsi="Times New Roman" w:cs="Times New Roman"/>
              </w:rPr>
              <w:t>】</w:t>
            </w:r>
            <w:r w:rsidRPr="008F73A7">
              <w:rPr>
                <w:rFonts w:ascii="Times New Roman" w:eastAsia="標楷體" w:hAnsi="Times New Roman" w:cs="Times New Roman"/>
              </w:rPr>
              <w:t>之運作現況，請撥冗於</w:t>
            </w:r>
            <w:r w:rsidR="00EA0AC2" w:rsidRPr="0093390D">
              <w:rPr>
                <w:rFonts w:ascii="標楷體" w:eastAsia="標楷體" w:hAnsi="標楷體" w:hint="eastAsia"/>
              </w:rPr>
              <w:t>○○</w:t>
            </w:r>
            <w:r w:rsidRPr="008F73A7">
              <w:rPr>
                <w:rFonts w:ascii="Times New Roman" w:eastAsia="標楷體" w:hAnsi="Times New Roman" w:cs="Times New Roman"/>
              </w:rPr>
              <w:t>年</w:t>
            </w:r>
            <w:r w:rsidR="00EA0AC2" w:rsidRPr="0093390D">
              <w:rPr>
                <w:rFonts w:ascii="標楷體" w:eastAsia="標楷體" w:hAnsi="標楷體" w:hint="eastAsia"/>
              </w:rPr>
              <w:t>○○</w:t>
            </w:r>
            <w:r w:rsidRPr="008F73A7">
              <w:rPr>
                <w:rFonts w:ascii="Times New Roman" w:eastAsia="標楷體" w:hAnsi="Times New Roman" w:cs="Times New Roman"/>
              </w:rPr>
              <w:t>月</w:t>
            </w:r>
            <w:r w:rsidR="00EA0AC2" w:rsidRPr="0093390D">
              <w:rPr>
                <w:rFonts w:ascii="標楷體" w:eastAsia="標楷體" w:hAnsi="標楷體" w:hint="eastAsia"/>
              </w:rPr>
              <w:t>○○</w:t>
            </w:r>
            <w:r w:rsidRPr="008F73A7">
              <w:rPr>
                <w:rFonts w:ascii="Times New Roman" w:eastAsia="標楷體" w:hAnsi="Times New Roman" w:cs="Times New Roman"/>
              </w:rPr>
              <w:t>日前</w:t>
            </w:r>
            <w:proofErr w:type="gramStart"/>
            <w:r w:rsidRPr="008F73A7">
              <w:rPr>
                <w:rFonts w:ascii="Times New Roman" w:eastAsia="標楷體" w:hAnsi="Times New Roman" w:cs="Times New Roman"/>
              </w:rPr>
              <w:t>填覆本調查表</w:t>
            </w:r>
            <w:proofErr w:type="gramEnd"/>
            <w:r w:rsidRPr="008F73A7">
              <w:rPr>
                <w:rFonts w:ascii="Times New Roman" w:eastAsia="標楷體" w:hAnsi="Times New Roman" w:cs="Times New Roman"/>
              </w:rPr>
              <w:t>，並檢附相關政策、規範與說明資料，無任</w:t>
            </w:r>
            <w:proofErr w:type="gramStart"/>
            <w:r w:rsidRPr="008F73A7">
              <w:rPr>
                <w:rFonts w:ascii="Times New Roman" w:eastAsia="標楷體" w:hAnsi="Times New Roman" w:cs="Times New Roman"/>
              </w:rPr>
              <w:t>感荷。</w:t>
            </w:r>
            <w:proofErr w:type="gramEnd"/>
          </w:p>
          <w:p w14:paraId="0A65E9DB" w14:textId="77777777" w:rsidR="008F73A7" w:rsidRPr="008F73A7" w:rsidRDefault="008F73A7" w:rsidP="008F73A7">
            <w:pPr>
              <w:pStyle w:val="a4"/>
              <w:numPr>
                <w:ilvl w:val="0"/>
                <w:numId w:val="1"/>
              </w:numPr>
              <w:wordWrap w:val="0"/>
              <w:ind w:leftChars="720" w:left="1728"/>
              <w:jc w:val="right"/>
              <w:rPr>
                <w:rFonts w:ascii="Times New Roman" w:eastAsia="標楷體" w:hAnsi="Times New Roman"/>
                <w:szCs w:val="24"/>
              </w:rPr>
            </w:pPr>
            <w:r w:rsidRPr="008F73A7">
              <w:rPr>
                <w:rFonts w:ascii="Times New Roman" w:eastAsia="標楷體" w:hAnsi="Times New Roman"/>
                <w:szCs w:val="24"/>
              </w:rPr>
              <w:t>金管會檢查局</w:t>
            </w:r>
            <w:r w:rsidRPr="008F73A7">
              <w:rPr>
                <w:rFonts w:ascii="Times New Roman" w:eastAsia="標楷體" w:hAnsi="Times New Roman"/>
                <w:szCs w:val="24"/>
              </w:rPr>
              <w:t xml:space="preserve">   </w:t>
            </w:r>
            <w:r w:rsidRPr="008F73A7">
              <w:rPr>
                <w:rFonts w:ascii="Times New Roman" w:eastAsia="標楷體" w:hAnsi="Times New Roman"/>
                <w:szCs w:val="24"/>
              </w:rPr>
              <w:t>啟</w:t>
            </w:r>
          </w:p>
        </w:tc>
      </w:tr>
    </w:tbl>
    <w:p w14:paraId="6025ED7F" w14:textId="4BE68019" w:rsidR="008F73A7" w:rsidRDefault="008F73A7" w:rsidP="00397D78">
      <w:pPr>
        <w:spacing w:beforeLines="30" w:before="108" w:afterLines="30" w:after="108" w:line="240" w:lineRule="exact"/>
        <w:jc w:val="center"/>
        <w:rPr>
          <w:rFonts w:ascii="Times New Roman" w:eastAsia="標楷體" w:hAnsi="Times New Roman" w:cs="Times New Roman"/>
          <w:b/>
          <w:bCs/>
          <w:sz w:val="52"/>
          <w:szCs w:val="52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1696"/>
        <w:gridCol w:w="3686"/>
        <w:gridCol w:w="1417"/>
        <w:gridCol w:w="3969"/>
      </w:tblGrid>
      <w:tr w:rsidR="009A6027" w:rsidRPr="008F73A7" w14:paraId="3D1DE300" w14:textId="77777777" w:rsidTr="009A6027">
        <w:tc>
          <w:tcPr>
            <w:tcW w:w="1696" w:type="dxa"/>
            <w:hideMark/>
          </w:tcPr>
          <w:p w14:paraId="2BCBE133" w14:textId="77777777" w:rsidR="008F73A7" w:rsidRPr="009A6027" w:rsidRDefault="008F73A7" w:rsidP="00AF2C54">
            <w:pPr>
              <w:spacing w:line="360" w:lineRule="exact"/>
              <w:rPr>
                <w:rFonts w:eastAsia="標楷體"/>
                <w:szCs w:val="24"/>
              </w:rPr>
            </w:pPr>
            <w:r w:rsidRPr="009A6027">
              <w:rPr>
                <w:rFonts w:eastAsia="標楷體" w:hint="eastAsia"/>
                <w:szCs w:val="24"/>
              </w:rPr>
              <w:t>貴公司名稱</w:t>
            </w:r>
            <w:r w:rsidRPr="009A6027">
              <w:rPr>
                <w:rFonts w:ascii="新細明體" w:hAnsi="新細明體" w:hint="eastAsia"/>
                <w:szCs w:val="24"/>
              </w:rPr>
              <w:t>：</w:t>
            </w:r>
          </w:p>
        </w:tc>
        <w:tc>
          <w:tcPr>
            <w:tcW w:w="3686" w:type="dxa"/>
          </w:tcPr>
          <w:p w14:paraId="478B34EC" w14:textId="77777777" w:rsidR="008F73A7" w:rsidRPr="009A6027" w:rsidRDefault="008F73A7" w:rsidP="00AF2C54">
            <w:pPr>
              <w:spacing w:line="360" w:lineRule="exact"/>
              <w:rPr>
                <w:rFonts w:eastAsia="標楷體"/>
                <w:szCs w:val="24"/>
              </w:rPr>
            </w:pPr>
          </w:p>
        </w:tc>
        <w:tc>
          <w:tcPr>
            <w:tcW w:w="1417" w:type="dxa"/>
            <w:hideMark/>
          </w:tcPr>
          <w:p w14:paraId="427A21F1" w14:textId="77777777" w:rsidR="008F73A7" w:rsidRPr="009A6027" w:rsidRDefault="008F73A7" w:rsidP="00AF2C54">
            <w:pPr>
              <w:spacing w:line="360" w:lineRule="exact"/>
              <w:rPr>
                <w:rFonts w:eastAsia="標楷體"/>
                <w:szCs w:val="24"/>
              </w:rPr>
            </w:pPr>
            <w:r w:rsidRPr="009A6027">
              <w:rPr>
                <w:rFonts w:eastAsia="標楷體" w:hint="eastAsia"/>
                <w:szCs w:val="24"/>
              </w:rPr>
              <w:t>填表日期</w:t>
            </w:r>
            <w:r w:rsidRPr="009A6027">
              <w:rPr>
                <w:rFonts w:ascii="新細明體" w:hAnsi="新細明體" w:hint="eastAsia"/>
                <w:szCs w:val="24"/>
              </w:rPr>
              <w:t>：</w:t>
            </w:r>
          </w:p>
        </w:tc>
        <w:tc>
          <w:tcPr>
            <w:tcW w:w="3969" w:type="dxa"/>
          </w:tcPr>
          <w:p w14:paraId="6274FD14" w14:textId="77777777" w:rsidR="008F73A7" w:rsidRPr="009A6027" w:rsidRDefault="008F73A7" w:rsidP="00AF2C54">
            <w:pPr>
              <w:spacing w:line="360" w:lineRule="exact"/>
              <w:rPr>
                <w:rFonts w:eastAsia="標楷體"/>
                <w:szCs w:val="24"/>
              </w:rPr>
            </w:pPr>
          </w:p>
        </w:tc>
      </w:tr>
      <w:tr w:rsidR="009A6027" w:rsidRPr="009A6027" w14:paraId="3D2B37EE" w14:textId="77777777" w:rsidTr="009A6027">
        <w:tc>
          <w:tcPr>
            <w:tcW w:w="1696" w:type="dxa"/>
            <w:hideMark/>
          </w:tcPr>
          <w:p w14:paraId="3E9A3EB5" w14:textId="77777777" w:rsidR="008F73A7" w:rsidRPr="009A6027" w:rsidRDefault="008F73A7" w:rsidP="00AF2C54">
            <w:pPr>
              <w:spacing w:line="3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9A6027">
              <w:rPr>
                <w:rFonts w:ascii="Times New Roman" w:eastAsia="標楷體" w:hAnsi="Times New Roman" w:cs="Times New Roman"/>
                <w:szCs w:val="24"/>
              </w:rPr>
              <w:t>填</w:t>
            </w:r>
            <w:r w:rsidRPr="009A6027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9A6027">
              <w:rPr>
                <w:rFonts w:ascii="Times New Roman" w:eastAsia="標楷體" w:hAnsi="Times New Roman" w:cs="Times New Roman"/>
                <w:szCs w:val="24"/>
              </w:rPr>
              <w:t>表</w:t>
            </w:r>
            <w:r w:rsidRPr="009A6027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9A6027">
              <w:rPr>
                <w:rFonts w:ascii="Times New Roman" w:eastAsia="標楷體" w:hAnsi="Times New Roman" w:cs="Times New Roman"/>
                <w:szCs w:val="24"/>
              </w:rPr>
              <w:t>人</w:t>
            </w:r>
            <w:r w:rsidRPr="009A6027">
              <w:rPr>
                <w:rFonts w:ascii="Times New Roman" w:hAnsi="Times New Roman" w:cs="Times New Roman"/>
                <w:szCs w:val="24"/>
              </w:rPr>
              <w:t>：</w:t>
            </w:r>
          </w:p>
        </w:tc>
        <w:tc>
          <w:tcPr>
            <w:tcW w:w="3686" w:type="dxa"/>
          </w:tcPr>
          <w:p w14:paraId="3E647913" w14:textId="77777777" w:rsidR="008F73A7" w:rsidRPr="009A6027" w:rsidRDefault="008F73A7" w:rsidP="00AF2C54">
            <w:pPr>
              <w:spacing w:line="360" w:lineRule="exac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417" w:type="dxa"/>
            <w:hideMark/>
          </w:tcPr>
          <w:p w14:paraId="2F85A725" w14:textId="77777777" w:rsidR="008F73A7" w:rsidRPr="009A6027" w:rsidRDefault="008F73A7" w:rsidP="00AF2C54">
            <w:pPr>
              <w:spacing w:line="3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9A6027">
              <w:rPr>
                <w:rFonts w:ascii="Times New Roman" w:eastAsia="標楷體" w:hAnsi="Times New Roman" w:cs="Times New Roman"/>
                <w:szCs w:val="24"/>
              </w:rPr>
              <w:t>複核主管</w:t>
            </w:r>
            <w:r w:rsidRPr="009A6027">
              <w:rPr>
                <w:rFonts w:ascii="Times New Roman" w:hAnsi="Times New Roman" w:cs="Times New Roman"/>
                <w:szCs w:val="24"/>
              </w:rPr>
              <w:t>：</w:t>
            </w:r>
          </w:p>
        </w:tc>
        <w:tc>
          <w:tcPr>
            <w:tcW w:w="3969" w:type="dxa"/>
          </w:tcPr>
          <w:p w14:paraId="3569F6BB" w14:textId="77777777" w:rsidR="008F73A7" w:rsidRPr="009A6027" w:rsidRDefault="008F73A7" w:rsidP="00AF2C54">
            <w:pPr>
              <w:spacing w:line="360" w:lineRule="exact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9A6027" w:rsidRPr="009A6027" w14:paraId="732D2A9B" w14:textId="77777777" w:rsidTr="009A6027">
        <w:tc>
          <w:tcPr>
            <w:tcW w:w="1696" w:type="dxa"/>
            <w:hideMark/>
          </w:tcPr>
          <w:p w14:paraId="3E0D70B0" w14:textId="77777777" w:rsidR="008F73A7" w:rsidRPr="009A6027" w:rsidRDefault="008F73A7" w:rsidP="00AF2C54">
            <w:pPr>
              <w:spacing w:line="3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9A6027">
              <w:rPr>
                <w:rFonts w:ascii="Times New Roman" w:eastAsia="標楷體" w:hAnsi="Times New Roman" w:cs="Times New Roman"/>
                <w:szCs w:val="24"/>
              </w:rPr>
              <w:t>部</w:t>
            </w:r>
            <w:r w:rsidRPr="009A6027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9A6027">
              <w:rPr>
                <w:rFonts w:ascii="Times New Roman" w:eastAsia="標楷體" w:hAnsi="Times New Roman" w:cs="Times New Roman"/>
                <w:szCs w:val="24"/>
              </w:rPr>
              <w:t>門</w:t>
            </w:r>
            <w:r w:rsidRPr="009A6027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9A6027">
              <w:rPr>
                <w:rFonts w:ascii="Times New Roman" w:eastAsia="標楷體" w:hAnsi="Times New Roman" w:cs="Times New Roman"/>
                <w:szCs w:val="24"/>
              </w:rPr>
              <w:t>別</w:t>
            </w:r>
            <w:r w:rsidRPr="009A6027">
              <w:rPr>
                <w:rFonts w:ascii="Times New Roman" w:hAnsi="Times New Roman" w:cs="Times New Roman"/>
                <w:szCs w:val="24"/>
              </w:rPr>
              <w:t>：</w:t>
            </w:r>
          </w:p>
        </w:tc>
        <w:tc>
          <w:tcPr>
            <w:tcW w:w="3686" w:type="dxa"/>
          </w:tcPr>
          <w:p w14:paraId="24A8F7DD" w14:textId="77777777" w:rsidR="008F73A7" w:rsidRPr="009A6027" w:rsidRDefault="008F73A7" w:rsidP="00AF2C54">
            <w:pPr>
              <w:spacing w:line="360" w:lineRule="exac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417" w:type="dxa"/>
            <w:hideMark/>
          </w:tcPr>
          <w:p w14:paraId="0139B0A8" w14:textId="77777777" w:rsidR="008F73A7" w:rsidRPr="009A6027" w:rsidRDefault="008F73A7" w:rsidP="00AF2C54">
            <w:pPr>
              <w:spacing w:line="3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9A6027">
              <w:rPr>
                <w:rFonts w:ascii="Times New Roman" w:eastAsia="標楷體" w:hAnsi="Times New Roman" w:cs="Times New Roman"/>
                <w:szCs w:val="24"/>
              </w:rPr>
              <w:t>部</w:t>
            </w:r>
            <w:r w:rsidRPr="009A6027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9A6027">
              <w:rPr>
                <w:rFonts w:ascii="Times New Roman" w:eastAsia="標楷體" w:hAnsi="Times New Roman" w:cs="Times New Roman"/>
                <w:szCs w:val="24"/>
              </w:rPr>
              <w:t>門</w:t>
            </w:r>
            <w:r w:rsidRPr="009A6027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9A6027">
              <w:rPr>
                <w:rFonts w:ascii="Times New Roman" w:eastAsia="標楷體" w:hAnsi="Times New Roman" w:cs="Times New Roman"/>
                <w:szCs w:val="24"/>
              </w:rPr>
              <w:t>別</w:t>
            </w:r>
            <w:r w:rsidRPr="009A6027">
              <w:rPr>
                <w:rFonts w:ascii="Times New Roman" w:hAnsi="Times New Roman" w:cs="Times New Roman"/>
                <w:szCs w:val="24"/>
              </w:rPr>
              <w:t>：</w:t>
            </w:r>
          </w:p>
        </w:tc>
        <w:tc>
          <w:tcPr>
            <w:tcW w:w="3969" w:type="dxa"/>
          </w:tcPr>
          <w:p w14:paraId="1D3AC891" w14:textId="77777777" w:rsidR="008F73A7" w:rsidRPr="009A6027" w:rsidRDefault="008F73A7" w:rsidP="00AF2C54">
            <w:pPr>
              <w:spacing w:line="360" w:lineRule="exact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9A6027" w:rsidRPr="009A6027" w14:paraId="0356CFC2" w14:textId="77777777" w:rsidTr="009A6027">
        <w:tc>
          <w:tcPr>
            <w:tcW w:w="1696" w:type="dxa"/>
            <w:hideMark/>
          </w:tcPr>
          <w:p w14:paraId="26C8700A" w14:textId="77777777" w:rsidR="008F73A7" w:rsidRPr="009A6027" w:rsidRDefault="008F73A7" w:rsidP="00AF2C54">
            <w:pPr>
              <w:spacing w:line="3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9A6027">
              <w:rPr>
                <w:rFonts w:ascii="Times New Roman" w:eastAsia="標楷體" w:hAnsi="Times New Roman" w:cs="Times New Roman"/>
                <w:szCs w:val="24"/>
              </w:rPr>
              <w:t>聯絡電話</w:t>
            </w:r>
            <w:r w:rsidRPr="009A6027">
              <w:rPr>
                <w:rFonts w:ascii="Times New Roman" w:hAnsi="Times New Roman" w:cs="Times New Roman"/>
                <w:szCs w:val="24"/>
              </w:rPr>
              <w:t>：</w:t>
            </w:r>
          </w:p>
        </w:tc>
        <w:tc>
          <w:tcPr>
            <w:tcW w:w="3686" w:type="dxa"/>
          </w:tcPr>
          <w:p w14:paraId="727EE4E7" w14:textId="77777777" w:rsidR="008F73A7" w:rsidRPr="009A6027" w:rsidRDefault="008F73A7" w:rsidP="00AF2C54">
            <w:pPr>
              <w:spacing w:line="360" w:lineRule="exac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417" w:type="dxa"/>
            <w:hideMark/>
          </w:tcPr>
          <w:p w14:paraId="092077BE" w14:textId="77777777" w:rsidR="008F73A7" w:rsidRPr="009A6027" w:rsidRDefault="008F73A7" w:rsidP="00AF2C54">
            <w:pPr>
              <w:spacing w:line="3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9A6027">
              <w:rPr>
                <w:rFonts w:ascii="Times New Roman" w:eastAsia="標楷體" w:hAnsi="Times New Roman" w:cs="Times New Roman"/>
                <w:szCs w:val="24"/>
              </w:rPr>
              <w:t>聯絡電話</w:t>
            </w:r>
            <w:r w:rsidRPr="009A6027">
              <w:rPr>
                <w:rFonts w:ascii="Times New Roman" w:hAnsi="Times New Roman" w:cs="Times New Roman"/>
                <w:szCs w:val="24"/>
              </w:rPr>
              <w:t>：</w:t>
            </w:r>
          </w:p>
        </w:tc>
        <w:tc>
          <w:tcPr>
            <w:tcW w:w="3969" w:type="dxa"/>
          </w:tcPr>
          <w:p w14:paraId="3D9E7762" w14:textId="77777777" w:rsidR="008F73A7" w:rsidRPr="009A6027" w:rsidRDefault="008F73A7" w:rsidP="00AF2C54">
            <w:pPr>
              <w:spacing w:line="360" w:lineRule="exact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9A6027" w:rsidRPr="009A6027" w14:paraId="1712447E" w14:textId="77777777" w:rsidTr="009A6027">
        <w:tc>
          <w:tcPr>
            <w:tcW w:w="1696" w:type="dxa"/>
            <w:hideMark/>
          </w:tcPr>
          <w:p w14:paraId="346D0132" w14:textId="77777777" w:rsidR="008F73A7" w:rsidRPr="009A6027" w:rsidRDefault="008F73A7" w:rsidP="00AF2C54">
            <w:pPr>
              <w:spacing w:line="3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9A6027">
              <w:rPr>
                <w:rFonts w:ascii="Times New Roman" w:eastAsia="標楷體" w:hAnsi="Times New Roman" w:cs="Times New Roman"/>
                <w:szCs w:val="24"/>
              </w:rPr>
              <w:t xml:space="preserve">E </w:t>
            </w:r>
            <w:proofErr w:type="gramStart"/>
            <w:r w:rsidRPr="009A6027">
              <w:rPr>
                <w:rFonts w:ascii="Times New Roman" w:eastAsia="標楷體" w:hAnsi="Times New Roman" w:cs="Times New Roman"/>
                <w:szCs w:val="24"/>
              </w:rPr>
              <w:t>–</w:t>
            </w:r>
            <w:proofErr w:type="gramEnd"/>
            <w:r w:rsidRPr="009A6027">
              <w:rPr>
                <w:rFonts w:ascii="Times New Roman" w:eastAsia="標楷體" w:hAnsi="Times New Roman" w:cs="Times New Roman"/>
                <w:szCs w:val="24"/>
              </w:rPr>
              <w:t xml:space="preserve"> Mail</w:t>
            </w:r>
            <w:r w:rsidRPr="009A6027">
              <w:rPr>
                <w:rFonts w:ascii="Times New Roman" w:hAnsi="Times New Roman" w:cs="Times New Roman"/>
                <w:szCs w:val="24"/>
              </w:rPr>
              <w:t>：</w:t>
            </w:r>
          </w:p>
        </w:tc>
        <w:tc>
          <w:tcPr>
            <w:tcW w:w="3686" w:type="dxa"/>
          </w:tcPr>
          <w:p w14:paraId="54D3AC16" w14:textId="77777777" w:rsidR="008F73A7" w:rsidRPr="009A6027" w:rsidRDefault="008F73A7" w:rsidP="00AF2C54">
            <w:pPr>
              <w:spacing w:line="360" w:lineRule="exac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417" w:type="dxa"/>
            <w:hideMark/>
          </w:tcPr>
          <w:p w14:paraId="577DA86C" w14:textId="77777777" w:rsidR="008F73A7" w:rsidRPr="009A6027" w:rsidRDefault="008F73A7" w:rsidP="00AF2C54">
            <w:pPr>
              <w:spacing w:line="3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9A6027">
              <w:rPr>
                <w:rFonts w:ascii="Times New Roman" w:eastAsia="標楷體" w:hAnsi="Times New Roman" w:cs="Times New Roman"/>
                <w:szCs w:val="24"/>
              </w:rPr>
              <w:t xml:space="preserve">E </w:t>
            </w:r>
            <w:proofErr w:type="gramStart"/>
            <w:r w:rsidRPr="009A6027">
              <w:rPr>
                <w:rFonts w:ascii="Times New Roman" w:eastAsia="標楷體" w:hAnsi="Times New Roman" w:cs="Times New Roman"/>
                <w:szCs w:val="24"/>
              </w:rPr>
              <w:t>–</w:t>
            </w:r>
            <w:proofErr w:type="gramEnd"/>
            <w:r w:rsidRPr="009A6027">
              <w:rPr>
                <w:rFonts w:ascii="Times New Roman" w:eastAsia="標楷體" w:hAnsi="Times New Roman" w:cs="Times New Roman"/>
                <w:szCs w:val="24"/>
              </w:rPr>
              <w:t xml:space="preserve"> Mail</w:t>
            </w:r>
            <w:r w:rsidRPr="009A6027">
              <w:rPr>
                <w:rFonts w:ascii="Times New Roman" w:hAnsi="Times New Roman" w:cs="Times New Roman"/>
                <w:szCs w:val="24"/>
              </w:rPr>
              <w:t>：</w:t>
            </w:r>
          </w:p>
        </w:tc>
        <w:tc>
          <w:tcPr>
            <w:tcW w:w="3969" w:type="dxa"/>
          </w:tcPr>
          <w:p w14:paraId="0AB32EAC" w14:textId="77777777" w:rsidR="008F73A7" w:rsidRPr="009A6027" w:rsidRDefault="008F73A7" w:rsidP="00AF2C54">
            <w:pPr>
              <w:spacing w:line="360" w:lineRule="exact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</w:tbl>
    <w:p w14:paraId="24D2BF11" w14:textId="2F746BD2" w:rsidR="004D29B8" w:rsidRDefault="004D29B8"/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5382"/>
        <w:gridCol w:w="850"/>
        <w:gridCol w:w="1560"/>
        <w:gridCol w:w="2976"/>
      </w:tblGrid>
      <w:tr w:rsidR="0048175B" w:rsidRPr="0099399A" w14:paraId="7F6FFB16" w14:textId="6EE7F8D8" w:rsidTr="00BF3E47">
        <w:trPr>
          <w:tblHeader/>
        </w:trPr>
        <w:tc>
          <w:tcPr>
            <w:tcW w:w="5382" w:type="dxa"/>
            <w:vAlign w:val="center"/>
          </w:tcPr>
          <w:p w14:paraId="09208E3E" w14:textId="34415A5D" w:rsidR="0048175B" w:rsidRPr="0099399A" w:rsidRDefault="0048175B" w:rsidP="00E31F9C">
            <w:pPr>
              <w:spacing w:beforeLines="25" w:before="90" w:afterLines="25" w:after="90" w:line="320" w:lineRule="exact"/>
              <w:jc w:val="center"/>
              <w:rPr>
                <w:rFonts w:ascii="Times New Roman" w:eastAsia="標楷體" w:hAnsi="Times New Roman" w:cs="Times New Roman"/>
                <w:b/>
                <w:bCs/>
              </w:rPr>
            </w:pPr>
            <w:r w:rsidRPr="0099399A">
              <w:rPr>
                <w:rFonts w:ascii="Times New Roman" w:eastAsia="標楷體" w:hAnsi="Times New Roman" w:cs="Times New Roman"/>
                <w:b/>
                <w:bCs/>
              </w:rPr>
              <w:t>項目</w:t>
            </w:r>
          </w:p>
        </w:tc>
        <w:tc>
          <w:tcPr>
            <w:tcW w:w="850" w:type="dxa"/>
            <w:vAlign w:val="center"/>
          </w:tcPr>
          <w:p w14:paraId="40FD8A42" w14:textId="046D65E7" w:rsidR="0048175B" w:rsidRPr="0099399A" w:rsidRDefault="0048175B" w:rsidP="00E31F9C">
            <w:pPr>
              <w:spacing w:beforeLines="25" w:before="90" w:afterLines="25" w:after="90" w:line="320" w:lineRule="exact"/>
              <w:jc w:val="both"/>
              <w:rPr>
                <w:rFonts w:ascii="Times New Roman" w:eastAsia="標楷體" w:hAnsi="Times New Roman" w:cs="Times New Roman"/>
                <w:b/>
                <w:bCs/>
              </w:rPr>
            </w:pPr>
            <w:r w:rsidRPr="0099399A">
              <w:rPr>
                <w:rFonts w:ascii="Times New Roman" w:eastAsia="標楷體" w:hAnsi="Times New Roman" w:cs="Times New Roman"/>
                <w:b/>
                <w:bCs/>
              </w:rPr>
              <w:t>執行狀況</w:t>
            </w:r>
            <w:r w:rsidRPr="0099399A">
              <w:rPr>
                <w:rStyle w:val="a7"/>
                <w:rFonts w:ascii="Times New Roman" w:eastAsia="標楷體" w:hAnsi="Times New Roman" w:cs="Times New Roman"/>
                <w:b/>
                <w:bCs/>
              </w:rPr>
              <w:footnoteReference w:id="1"/>
            </w:r>
          </w:p>
        </w:tc>
        <w:tc>
          <w:tcPr>
            <w:tcW w:w="1560" w:type="dxa"/>
            <w:vAlign w:val="center"/>
          </w:tcPr>
          <w:p w14:paraId="6CCBBFEF" w14:textId="77777777" w:rsidR="0048175B" w:rsidRPr="0099399A" w:rsidRDefault="0048175B" w:rsidP="00E31F9C">
            <w:pPr>
              <w:spacing w:beforeLines="25" w:before="90" w:line="320" w:lineRule="exact"/>
              <w:jc w:val="center"/>
              <w:rPr>
                <w:rFonts w:ascii="Times New Roman" w:eastAsia="標楷體" w:hAnsi="Times New Roman" w:cs="Times New Roman"/>
                <w:b/>
                <w:bCs/>
              </w:rPr>
            </w:pPr>
            <w:r w:rsidRPr="0099399A">
              <w:rPr>
                <w:rFonts w:ascii="Times New Roman" w:eastAsia="標楷體" w:hAnsi="Times New Roman" w:cs="Times New Roman"/>
                <w:b/>
                <w:bCs/>
              </w:rPr>
              <w:t>相關說明</w:t>
            </w:r>
          </w:p>
          <w:p w14:paraId="59ADE67C" w14:textId="5F8F2710" w:rsidR="0048175B" w:rsidRPr="0099399A" w:rsidRDefault="0048175B" w:rsidP="00E31F9C">
            <w:pPr>
              <w:spacing w:afterLines="25" w:after="90" w:line="320" w:lineRule="exact"/>
              <w:jc w:val="center"/>
              <w:rPr>
                <w:rFonts w:ascii="Times New Roman" w:eastAsia="標楷體" w:hAnsi="Times New Roman" w:cs="Times New Roman"/>
                <w:b/>
                <w:bCs/>
              </w:rPr>
            </w:pPr>
            <w:r w:rsidRPr="0099399A"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  <w:t>(</w:t>
            </w:r>
            <w:r w:rsidRPr="0099399A"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  <w:t>檢附文件說明</w:t>
            </w:r>
            <w:r w:rsidRPr="0099399A"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976" w:type="dxa"/>
            <w:vAlign w:val="center"/>
          </w:tcPr>
          <w:p w14:paraId="5442624A" w14:textId="6DC8A5C1" w:rsidR="0048175B" w:rsidRPr="0099399A" w:rsidRDefault="0074427F" w:rsidP="00E31F9C">
            <w:pPr>
              <w:spacing w:beforeLines="25" w:before="90" w:afterLines="25" w:after="90" w:line="320" w:lineRule="exact"/>
              <w:jc w:val="center"/>
              <w:rPr>
                <w:rFonts w:ascii="Times New Roman" w:eastAsia="標楷體" w:hAnsi="Times New Roman" w:cs="Times New Roman"/>
                <w:b/>
                <w:bCs/>
              </w:rPr>
            </w:pPr>
            <w:r>
              <w:rPr>
                <w:rFonts w:ascii="Times New Roman" w:eastAsia="標楷體" w:hAnsi="Times New Roman" w:cs="Times New Roman" w:hint="eastAsia"/>
                <w:b/>
                <w:bCs/>
                <w:kern w:val="0"/>
              </w:rPr>
              <w:t>參考</w:t>
            </w:r>
            <w:r w:rsidR="0048175B" w:rsidRPr="0099399A">
              <w:rPr>
                <w:rFonts w:ascii="Times New Roman" w:eastAsia="標楷體" w:hAnsi="Times New Roman" w:cs="Times New Roman"/>
                <w:b/>
                <w:bCs/>
                <w:kern w:val="0"/>
              </w:rPr>
              <w:t>法規</w:t>
            </w:r>
          </w:p>
        </w:tc>
      </w:tr>
      <w:tr w:rsidR="0048175B" w:rsidRPr="0099399A" w14:paraId="580C21CF" w14:textId="11C19969" w:rsidTr="00622397">
        <w:tc>
          <w:tcPr>
            <w:tcW w:w="5382" w:type="dxa"/>
          </w:tcPr>
          <w:p w14:paraId="5838C4E1" w14:textId="498ADEB5" w:rsidR="0008672C" w:rsidRPr="0099399A" w:rsidRDefault="008B3B80" w:rsidP="00F80DAC">
            <w:pPr>
              <w:spacing w:beforeLines="25" w:before="90" w:afterLines="25" w:after="90" w:line="280" w:lineRule="exact"/>
              <w:ind w:left="420" w:hangingChars="175" w:hanging="420"/>
              <w:jc w:val="both"/>
              <w:rPr>
                <w:rFonts w:ascii="Times New Roman" w:eastAsia="標楷體" w:hAnsi="Times New Roman" w:cs="Times New Roman"/>
                <w:b/>
                <w:bCs/>
              </w:rPr>
            </w:pPr>
            <w:r w:rsidRPr="0099399A">
              <w:rPr>
                <w:rFonts w:ascii="Times New Roman" w:eastAsia="標楷體" w:hAnsi="Times New Roman" w:cs="Times New Roman"/>
                <w:b/>
                <w:bCs/>
              </w:rPr>
              <w:t>壹</w:t>
            </w:r>
            <w:r w:rsidR="0048175B" w:rsidRPr="0099399A">
              <w:rPr>
                <w:rFonts w:ascii="Times New Roman" w:eastAsia="標楷體" w:hAnsi="Times New Roman" w:cs="Times New Roman"/>
                <w:b/>
                <w:bCs/>
              </w:rPr>
              <w:t>、</w:t>
            </w:r>
            <w:r w:rsidR="005A1610">
              <w:rPr>
                <w:rFonts w:ascii="Times New Roman" w:eastAsia="標楷體" w:hAnsi="Times New Roman" w:cs="Times New Roman" w:hint="eastAsia"/>
                <w:b/>
                <w:bCs/>
              </w:rPr>
              <w:t>將</w:t>
            </w:r>
            <w:r w:rsidR="005A1610" w:rsidRPr="0099399A">
              <w:rPr>
                <w:rFonts w:ascii="Times New Roman" w:eastAsia="標楷體" w:hAnsi="Times New Roman" w:cs="Times New Roman"/>
                <w:b/>
                <w:kern w:val="0"/>
              </w:rPr>
              <w:t>永續</w:t>
            </w:r>
            <w:r w:rsidR="005A1610">
              <w:rPr>
                <w:rFonts w:ascii="Times New Roman" w:eastAsia="標楷體" w:hAnsi="Times New Roman" w:cs="Times New Roman" w:hint="eastAsia"/>
                <w:b/>
                <w:kern w:val="0"/>
              </w:rPr>
              <w:t>議題</w:t>
            </w:r>
            <w:r w:rsidR="005A1610" w:rsidRPr="0099399A">
              <w:rPr>
                <w:rFonts w:ascii="Times New Roman" w:eastAsia="標楷體" w:hAnsi="Times New Roman" w:cs="Times New Roman"/>
                <w:b/>
                <w:kern w:val="0"/>
              </w:rPr>
              <w:t>納入</w:t>
            </w:r>
            <w:r w:rsidR="0008672C" w:rsidRPr="0099399A">
              <w:rPr>
                <w:rFonts w:ascii="Times New Roman" w:eastAsia="標楷體" w:hAnsi="Times New Roman" w:cs="Times New Roman"/>
                <w:b/>
                <w:kern w:val="0"/>
              </w:rPr>
              <w:t>經營策略</w:t>
            </w:r>
            <w:r w:rsidR="00A144B3">
              <w:rPr>
                <w:rFonts w:ascii="Times New Roman" w:eastAsia="標楷體" w:hAnsi="Times New Roman" w:cs="Times New Roman" w:hint="eastAsia"/>
                <w:b/>
                <w:kern w:val="0"/>
              </w:rPr>
              <w:t>、</w:t>
            </w:r>
            <w:r w:rsidR="005A1610">
              <w:rPr>
                <w:rFonts w:ascii="Times New Roman" w:eastAsia="標楷體" w:hAnsi="Times New Roman" w:cs="Times New Roman" w:hint="eastAsia"/>
                <w:b/>
                <w:kern w:val="0"/>
              </w:rPr>
              <w:t>相關</w:t>
            </w:r>
            <w:r w:rsidR="005A1610" w:rsidRPr="0099399A">
              <w:rPr>
                <w:rFonts w:ascii="Times New Roman" w:eastAsia="標楷體" w:hAnsi="Times New Roman" w:cs="Times New Roman"/>
                <w:b/>
                <w:kern w:val="0"/>
              </w:rPr>
              <w:t>管理規範</w:t>
            </w:r>
            <w:r w:rsidR="00A144B3">
              <w:rPr>
                <w:rFonts w:ascii="Times New Roman" w:eastAsia="標楷體" w:hAnsi="Times New Roman" w:cs="Times New Roman" w:hint="eastAsia"/>
                <w:b/>
                <w:kern w:val="0"/>
              </w:rPr>
              <w:t>及落實情形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14E5BEE9" w14:textId="77777777" w:rsidR="0048175B" w:rsidRPr="0099399A" w:rsidRDefault="0048175B" w:rsidP="00622397">
            <w:pPr>
              <w:spacing w:beforeLines="25" w:before="90" w:afterLines="25" w:after="90" w:line="280" w:lineRule="exact"/>
              <w:jc w:val="both"/>
              <w:rPr>
                <w:rFonts w:ascii="Times New Roman" w:eastAsia="標楷體" w:hAnsi="Times New Roman" w:cs="Times New Roman"/>
                <w:b/>
                <w:bCs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14:paraId="4CD9BBF2" w14:textId="77777777" w:rsidR="0048175B" w:rsidRPr="0099399A" w:rsidRDefault="0048175B" w:rsidP="00622397">
            <w:pPr>
              <w:spacing w:beforeLines="25" w:before="90" w:afterLines="25" w:after="90" w:line="280" w:lineRule="exact"/>
              <w:jc w:val="both"/>
              <w:rPr>
                <w:rFonts w:ascii="Times New Roman" w:eastAsia="標楷體" w:hAnsi="Times New Roman" w:cs="Times New Roman"/>
                <w:b/>
                <w:bCs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</w:tcPr>
          <w:p w14:paraId="4B271388" w14:textId="77777777" w:rsidR="0048175B" w:rsidRPr="0099399A" w:rsidRDefault="0048175B" w:rsidP="00622397">
            <w:pPr>
              <w:spacing w:beforeLines="25" w:before="90" w:afterLines="25" w:after="90" w:line="280" w:lineRule="exact"/>
              <w:jc w:val="both"/>
              <w:rPr>
                <w:rFonts w:ascii="Times New Roman" w:eastAsia="標楷體" w:hAnsi="Times New Roman" w:cs="Times New Roman"/>
                <w:b/>
                <w:bCs/>
              </w:rPr>
            </w:pPr>
          </w:p>
        </w:tc>
      </w:tr>
      <w:tr w:rsidR="003E21BA" w:rsidRPr="0099399A" w14:paraId="789D859F" w14:textId="77777777" w:rsidTr="00622397">
        <w:tc>
          <w:tcPr>
            <w:tcW w:w="5382" w:type="dxa"/>
          </w:tcPr>
          <w:p w14:paraId="03757285" w14:textId="623B454A" w:rsidR="003E21BA" w:rsidRPr="0099399A" w:rsidRDefault="003E21BA" w:rsidP="00622397">
            <w:pPr>
              <w:spacing w:beforeLines="25" w:before="90" w:afterLines="25" w:after="90" w:line="280" w:lineRule="exact"/>
              <w:ind w:leftChars="50" w:left="600" w:hangingChars="200" w:hanging="480"/>
              <w:jc w:val="both"/>
              <w:rPr>
                <w:rFonts w:ascii="Times New Roman" w:eastAsia="標楷體" w:hAnsi="Times New Roman" w:cs="Times New Roman"/>
              </w:rPr>
            </w:pPr>
            <w:r w:rsidRPr="0099399A">
              <w:rPr>
                <w:rFonts w:ascii="Times New Roman" w:eastAsia="標楷體" w:hAnsi="Times New Roman" w:cs="Times New Roman"/>
              </w:rPr>
              <w:t>一、</w:t>
            </w:r>
            <w:r w:rsidR="00121C40" w:rsidRPr="0033307B">
              <w:rPr>
                <w:rFonts w:ascii="Times New Roman" w:eastAsia="標楷體" w:hAnsi="Times New Roman" w:cs="Times New Roman"/>
                <w:szCs w:val="24"/>
              </w:rPr>
              <w:t>是否</w:t>
            </w:r>
            <w:proofErr w:type="gramStart"/>
            <w:r w:rsidR="00121C40" w:rsidRPr="0099399A">
              <w:rPr>
                <w:rFonts w:ascii="Times New Roman" w:eastAsia="標楷體" w:hAnsi="Times New Roman" w:cs="Times New Roman"/>
              </w:rPr>
              <w:t>訂定</w:t>
            </w:r>
            <w:r w:rsidR="00121C40" w:rsidRPr="009E395A">
              <w:rPr>
                <w:rFonts w:ascii="Times New Roman" w:eastAsia="標楷體" w:hAnsi="Times New Roman" w:cs="Times New Roman"/>
              </w:rPr>
              <w:t>永續</w:t>
            </w:r>
            <w:proofErr w:type="gramEnd"/>
            <w:r w:rsidR="00121C40" w:rsidRPr="009E395A">
              <w:rPr>
                <w:rFonts w:ascii="Times New Roman" w:eastAsia="標楷體" w:hAnsi="Times New Roman" w:cs="Times New Roman" w:hint="eastAsia"/>
              </w:rPr>
              <w:t>發展目標與</w:t>
            </w:r>
            <w:r w:rsidR="00121C40" w:rsidRPr="009E395A">
              <w:rPr>
                <w:rFonts w:ascii="Times New Roman" w:eastAsia="標楷體" w:hAnsi="Times New Roman" w:cs="Times New Roman"/>
              </w:rPr>
              <w:t>政策？</w:t>
            </w:r>
            <w:r w:rsidR="003C290C" w:rsidRPr="009E395A">
              <w:rPr>
                <w:rFonts w:ascii="Times New Roman" w:eastAsia="標楷體" w:hAnsi="Times New Roman" w:cs="Times New Roman"/>
                <w:szCs w:val="24"/>
              </w:rPr>
              <w:t>是否將永續議題納入整體經營策略</w:t>
            </w:r>
            <w:r w:rsidR="003C290C" w:rsidRPr="0099399A">
              <w:rPr>
                <w:rFonts w:ascii="Times New Roman" w:eastAsia="標楷體" w:hAnsi="Times New Roman" w:cs="Times New Roman"/>
                <w:szCs w:val="24"/>
              </w:rPr>
              <w:t>？有無</w:t>
            </w:r>
            <w:proofErr w:type="gramStart"/>
            <w:r w:rsidR="003C290C" w:rsidRPr="0099399A">
              <w:rPr>
                <w:rFonts w:ascii="Times New Roman" w:eastAsia="標楷體" w:hAnsi="Times New Roman" w:cs="Times New Roman"/>
                <w:szCs w:val="24"/>
              </w:rPr>
              <w:t>訂定短</w:t>
            </w:r>
            <w:proofErr w:type="gramEnd"/>
            <w:r w:rsidR="003C290C" w:rsidRPr="0099399A">
              <w:rPr>
                <w:rFonts w:ascii="Times New Roman" w:eastAsia="標楷體" w:hAnsi="Times New Roman" w:cs="Times New Roman"/>
                <w:szCs w:val="24"/>
              </w:rPr>
              <w:t>、中、長期具體工作項目或應執行事項及其預計達成之目標，並與</w:t>
            </w:r>
            <w:r w:rsidR="005A1610">
              <w:rPr>
                <w:rFonts w:ascii="Times New Roman" w:eastAsia="標楷體" w:hAnsi="Times New Roman" w:cs="Times New Roman" w:hint="eastAsia"/>
                <w:szCs w:val="24"/>
              </w:rPr>
              <w:t>公司</w:t>
            </w:r>
            <w:r w:rsidR="003C290C" w:rsidRPr="0099399A">
              <w:rPr>
                <w:rFonts w:ascii="Times New Roman" w:eastAsia="標楷體" w:hAnsi="Times New Roman" w:cs="Times New Roman"/>
                <w:szCs w:val="24"/>
              </w:rPr>
              <w:t>整體</w:t>
            </w:r>
            <w:r w:rsidR="00DE067F" w:rsidRPr="009E395A">
              <w:rPr>
                <w:rFonts w:ascii="Times New Roman" w:eastAsia="標楷體" w:hAnsi="Times New Roman" w:cs="Times New Roman"/>
                <w:szCs w:val="24"/>
              </w:rPr>
              <w:t>永續</w:t>
            </w:r>
            <w:r w:rsidR="003C290C" w:rsidRPr="009E395A">
              <w:rPr>
                <w:rFonts w:ascii="Times New Roman" w:eastAsia="標楷體" w:hAnsi="Times New Roman" w:cs="Times New Roman"/>
                <w:szCs w:val="24"/>
              </w:rPr>
              <w:t>策略</w:t>
            </w:r>
            <w:r w:rsidR="003C290C" w:rsidRPr="0099399A">
              <w:rPr>
                <w:rFonts w:ascii="Times New Roman" w:eastAsia="標楷體" w:hAnsi="Times New Roman" w:cs="Times New Roman"/>
                <w:szCs w:val="24"/>
              </w:rPr>
              <w:t>有效連結？</w:t>
            </w:r>
            <w:r w:rsidR="005A1610">
              <w:rPr>
                <w:rFonts w:ascii="Times New Roman" w:eastAsia="標楷體" w:hAnsi="Times New Roman" w:cs="Times New Roman" w:hint="eastAsia"/>
                <w:szCs w:val="24"/>
              </w:rPr>
              <w:t>公司</w:t>
            </w:r>
            <w:r w:rsidR="00952063">
              <w:rPr>
                <w:rFonts w:ascii="Times New Roman" w:eastAsia="標楷體" w:hAnsi="Times New Roman" w:cs="Times New Roman" w:hint="eastAsia"/>
                <w:szCs w:val="24"/>
              </w:rPr>
              <w:t>對參與、簽署或遵循國際永續相關規範</w:t>
            </w:r>
            <w:r w:rsidR="00952063">
              <w:rPr>
                <w:rFonts w:ascii="Times New Roman" w:eastAsia="標楷體" w:hAnsi="Times New Roman" w:cs="Times New Roman" w:hint="eastAsia"/>
                <w:szCs w:val="24"/>
              </w:rPr>
              <w:t>/</w:t>
            </w:r>
            <w:r w:rsidR="00952063">
              <w:rPr>
                <w:rFonts w:ascii="Times New Roman" w:eastAsia="標楷體" w:hAnsi="Times New Roman" w:cs="Times New Roman" w:hint="eastAsia"/>
                <w:szCs w:val="24"/>
              </w:rPr>
              <w:t>原則</w:t>
            </w:r>
            <w:r w:rsidR="00952063">
              <w:rPr>
                <w:rFonts w:ascii="Times New Roman" w:eastAsia="標楷體" w:hAnsi="Times New Roman" w:cs="Times New Roman" w:hint="eastAsia"/>
                <w:szCs w:val="24"/>
              </w:rPr>
              <w:t>/</w:t>
            </w:r>
            <w:r w:rsidR="00952063">
              <w:rPr>
                <w:rFonts w:ascii="Times New Roman" w:eastAsia="標楷體" w:hAnsi="Times New Roman" w:cs="Times New Roman" w:hint="eastAsia"/>
                <w:szCs w:val="24"/>
              </w:rPr>
              <w:t>倡議之</w:t>
            </w:r>
            <w:r w:rsidR="005A1610">
              <w:rPr>
                <w:rFonts w:ascii="Times New Roman" w:eastAsia="標楷體" w:hAnsi="Times New Roman" w:cs="Times New Roman" w:hint="eastAsia"/>
                <w:szCs w:val="24"/>
              </w:rPr>
              <w:t>辦理情形</w:t>
            </w:r>
            <w:r w:rsidR="00952063">
              <w:rPr>
                <w:rFonts w:ascii="Times New Roman" w:eastAsia="標楷體" w:hAnsi="Times New Roman" w:cs="Times New Roman" w:hint="eastAsia"/>
                <w:szCs w:val="24"/>
              </w:rPr>
              <w:t>及</w:t>
            </w:r>
            <w:r w:rsidR="005A1610">
              <w:rPr>
                <w:rFonts w:ascii="Times New Roman" w:eastAsia="標楷體" w:hAnsi="Times New Roman" w:cs="Times New Roman" w:hint="eastAsia"/>
                <w:szCs w:val="24"/>
              </w:rPr>
              <w:t>未來</w:t>
            </w:r>
            <w:r w:rsidR="00952063">
              <w:rPr>
                <w:rFonts w:ascii="Times New Roman" w:eastAsia="標楷體" w:hAnsi="Times New Roman" w:cs="Times New Roman" w:hint="eastAsia"/>
                <w:szCs w:val="24"/>
              </w:rPr>
              <w:t>規劃</w:t>
            </w:r>
            <w:r w:rsidR="00952063">
              <w:rPr>
                <w:rFonts w:ascii="Times New Roman" w:eastAsia="標楷體" w:hAnsi="Times New Roman" w:cs="Times New Roman" w:hint="eastAsia"/>
                <w:szCs w:val="24"/>
              </w:rPr>
              <w:t>?</w:t>
            </w:r>
          </w:p>
        </w:tc>
        <w:tc>
          <w:tcPr>
            <w:tcW w:w="850" w:type="dxa"/>
            <w:shd w:val="clear" w:color="auto" w:fill="auto"/>
          </w:tcPr>
          <w:p w14:paraId="4BB70293" w14:textId="77777777" w:rsidR="003E21BA" w:rsidRPr="0099399A" w:rsidRDefault="003E21BA" w:rsidP="00622397">
            <w:pPr>
              <w:spacing w:beforeLines="25" w:before="90" w:afterLines="25" w:after="90" w:line="280" w:lineRule="exact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14:paraId="46EAAC53" w14:textId="77777777" w:rsidR="003E21BA" w:rsidRPr="0099399A" w:rsidRDefault="003E21BA" w:rsidP="00622397">
            <w:pPr>
              <w:spacing w:beforeLines="25" w:before="90" w:afterLines="25" w:after="90" w:line="280" w:lineRule="exact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14:paraId="05ACC49D" w14:textId="1FDE4F2B" w:rsidR="00666A40" w:rsidRDefault="00666A40" w:rsidP="00622397">
            <w:pPr>
              <w:spacing w:beforeLines="20" w:before="72" w:afterLines="20" w:after="72" w:line="260" w:lineRule="exact"/>
              <w:ind w:left="192" w:hangingChars="80" w:hanging="19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1.</w:t>
            </w:r>
            <w:r w:rsidR="003E1349">
              <w:rPr>
                <w:rFonts w:ascii="Times New Roman" w:eastAsia="標楷體" w:hAnsi="Times New Roman" w:cs="Times New Roman"/>
              </w:rPr>
              <w:t>上市上櫃公司永續發展實務守則</w:t>
            </w:r>
            <w:r w:rsidR="004D581F" w:rsidRPr="0099399A">
              <w:rPr>
                <w:rFonts w:ascii="Times New Roman" w:eastAsia="標楷體" w:hAnsi="Times New Roman" w:cs="Times New Roman"/>
              </w:rPr>
              <w:t>第</w:t>
            </w:r>
            <w:r w:rsidR="004D581F" w:rsidRPr="0099399A">
              <w:rPr>
                <w:rFonts w:ascii="Times New Roman" w:eastAsia="標楷體" w:hAnsi="Times New Roman" w:cs="Times New Roman"/>
              </w:rPr>
              <w:t>1</w:t>
            </w:r>
            <w:r w:rsidR="004D581F" w:rsidRPr="0099399A">
              <w:rPr>
                <w:rFonts w:ascii="Times New Roman" w:eastAsia="標楷體" w:hAnsi="Times New Roman" w:cs="Times New Roman"/>
              </w:rPr>
              <w:t>條第</w:t>
            </w:r>
            <w:r w:rsidR="004D581F" w:rsidRPr="0099399A">
              <w:rPr>
                <w:rFonts w:ascii="Times New Roman" w:eastAsia="標楷體" w:hAnsi="Times New Roman" w:cs="Times New Roman"/>
              </w:rPr>
              <w:t>2</w:t>
            </w:r>
            <w:r w:rsidR="004D581F" w:rsidRPr="0099399A">
              <w:rPr>
                <w:rFonts w:ascii="Times New Roman" w:eastAsia="標楷體" w:hAnsi="Times New Roman" w:cs="Times New Roman"/>
              </w:rPr>
              <w:t>項、</w:t>
            </w:r>
            <w:r w:rsidR="003C290C" w:rsidRPr="0099399A">
              <w:rPr>
                <w:rFonts w:ascii="Times New Roman" w:eastAsia="標楷體" w:hAnsi="Times New Roman" w:cs="Times New Roman"/>
              </w:rPr>
              <w:t>第</w:t>
            </w:r>
            <w:r w:rsidR="003C290C" w:rsidRPr="0099399A">
              <w:rPr>
                <w:rFonts w:ascii="Times New Roman" w:eastAsia="標楷體" w:hAnsi="Times New Roman" w:cs="Times New Roman"/>
              </w:rPr>
              <w:t>3</w:t>
            </w:r>
            <w:r w:rsidR="003C290C" w:rsidRPr="0099399A">
              <w:rPr>
                <w:rFonts w:ascii="Times New Roman" w:eastAsia="標楷體" w:hAnsi="Times New Roman" w:cs="Times New Roman"/>
              </w:rPr>
              <w:t>條第</w:t>
            </w:r>
            <w:r w:rsidR="003C290C" w:rsidRPr="0099399A">
              <w:rPr>
                <w:rFonts w:ascii="Times New Roman" w:eastAsia="標楷體" w:hAnsi="Times New Roman" w:cs="Times New Roman"/>
              </w:rPr>
              <w:t>1</w:t>
            </w:r>
            <w:r w:rsidR="003C290C" w:rsidRPr="0099399A">
              <w:rPr>
                <w:rFonts w:ascii="Times New Roman" w:eastAsia="標楷體" w:hAnsi="Times New Roman" w:cs="Times New Roman"/>
              </w:rPr>
              <w:t>項、第</w:t>
            </w:r>
            <w:r w:rsidR="003C290C" w:rsidRPr="0099399A">
              <w:rPr>
                <w:rFonts w:ascii="Times New Roman" w:eastAsia="標楷體" w:hAnsi="Times New Roman" w:cs="Times New Roman"/>
              </w:rPr>
              <w:t>7</w:t>
            </w:r>
            <w:r w:rsidR="003C290C" w:rsidRPr="0099399A">
              <w:rPr>
                <w:rFonts w:ascii="Times New Roman" w:eastAsia="標楷體" w:hAnsi="Times New Roman" w:cs="Times New Roman"/>
              </w:rPr>
              <w:t>條第</w:t>
            </w:r>
            <w:r w:rsidR="003C290C" w:rsidRPr="0099399A">
              <w:rPr>
                <w:rFonts w:ascii="Times New Roman" w:eastAsia="標楷體" w:hAnsi="Times New Roman" w:cs="Times New Roman"/>
              </w:rPr>
              <w:t>2</w:t>
            </w:r>
            <w:r w:rsidR="003C290C" w:rsidRPr="0099399A">
              <w:rPr>
                <w:rFonts w:ascii="Times New Roman" w:eastAsia="標楷體" w:hAnsi="Times New Roman" w:cs="Times New Roman"/>
              </w:rPr>
              <w:t>項</w:t>
            </w:r>
            <w:r w:rsidR="004D581F">
              <w:rPr>
                <w:rFonts w:ascii="Times New Roman" w:eastAsia="標楷體" w:hAnsi="Times New Roman" w:cs="Times New Roman" w:hint="eastAsia"/>
              </w:rPr>
              <w:t>第</w:t>
            </w:r>
            <w:r w:rsidR="004D581F">
              <w:rPr>
                <w:rFonts w:ascii="Times New Roman" w:eastAsia="標楷體" w:hAnsi="Times New Roman" w:cs="Times New Roman" w:hint="eastAsia"/>
              </w:rPr>
              <w:t>1</w:t>
            </w:r>
            <w:r w:rsidR="004D581F">
              <w:rPr>
                <w:rFonts w:ascii="Times New Roman" w:eastAsia="標楷體" w:hAnsi="Times New Roman" w:cs="Times New Roman" w:hint="eastAsia"/>
              </w:rPr>
              <w:t>款、</w:t>
            </w:r>
            <w:r w:rsidR="003C290C" w:rsidRPr="0099399A">
              <w:rPr>
                <w:rFonts w:ascii="Times New Roman" w:eastAsia="標楷體" w:hAnsi="Times New Roman" w:cs="Times New Roman"/>
              </w:rPr>
              <w:t>第</w:t>
            </w:r>
            <w:r w:rsidR="003C290C" w:rsidRPr="0099399A">
              <w:rPr>
                <w:rFonts w:ascii="Times New Roman" w:eastAsia="標楷體" w:hAnsi="Times New Roman" w:cs="Times New Roman"/>
              </w:rPr>
              <w:t>2</w:t>
            </w:r>
            <w:r w:rsidR="003C290C" w:rsidRPr="0099399A">
              <w:rPr>
                <w:rFonts w:ascii="Times New Roman" w:eastAsia="標楷體" w:hAnsi="Times New Roman" w:cs="Times New Roman"/>
              </w:rPr>
              <w:t>款及第</w:t>
            </w:r>
            <w:r w:rsidR="003C290C" w:rsidRPr="0099399A">
              <w:rPr>
                <w:rFonts w:ascii="Times New Roman" w:eastAsia="標楷體" w:hAnsi="Times New Roman" w:cs="Times New Roman"/>
              </w:rPr>
              <w:t>9</w:t>
            </w:r>
            <w:r w:rsidR="003C290C" w:rsidRPr="0099399A">
              <w:rPr>
                <w:rFonts w:ascii="Times New Roman" w:eastAsia="標楷體" w:hAnsi="Times New Roman" w:cs="Times New Roman"/>
              </w:rPr>
              <w:t>條第</w:t>
            </w:r>
            <w:r w:rsidR="003C290C" w:rsidRPr="0099399A">
              <w:rPr>
                <w:rFonts w:ascii="Times New Roman" w:eastAsia="標楷體" w:hAnsi="Times New Roman" w:cs="Times New Roman"/>
              </w:rPr>
              <w:t>1</w:t>
            </w:r>
            <w:r w:rsidR="003C290C" w:rsidRPr="0099399A">
              <w:rPr>
                <w:rFonts w:ascii="Times New Roman" w:eastAsia="標楷體" w:hAnsi="Times New Roman" w:cs="Times New Roman"/>
              </w:rPr>
              <w:t>項</w:t>
            </w:r>
          </w:p>
          <w:p w14:paraId="33E1CDB6" w14:textId="175E0A34" w:rsidR="003E21BA" w:rsidRPr="00942444" w:rsidRDefault="00262CFF" w:rsidP="00622397">
            <w:pPr>
              <w:spacing w:beforeLines="20" w:before="72" w:afterLines="20" w:after="72" w:line="260" w:lineRule="exact"/>
              <w:ind w:left="192" w:hangingChars="80" w:hanging="19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2</w:t>
            </w:r>
            <w:r w:rsidR="004D581F">
              <w:rPr>
                <w:rFonts w:ascii="Times New Roman" w:eastAsia="標楷體" w:hAnsi="Times New Roman" w:cs="Times New Roman" w:hint="eastAsia"/>
              </w:rPr>
              <w:t>.</w:t>
            </w:r>
            <w:r w:rsidR="00942444" w:rsidRPr="00942444">
              <w:rPr>
                <w:rFonts w:ascii="Times New Roman" w:eastAsia="標楷體" w:hAnsi="Times New Roman" w:cs="Times New Roman"/>
              </w:rPr>
              <w:t>證券商公司治理實務守則</w:t>
            </w:r>
            <w:r w:rsidR="00942444">
              <w:rPr>
                <w:rFonts w:ascii="Times New Roman" w:eastAsia="標楷體" w:hAnsi="Times New Roman" w:cs="Times New Roman" w:hint="eastAsia"/>
              </w:rPr>
              <w:t>第</w:t>
            </w:r>
            <w:r w:rsidR="00942444">
              <w:rPr>
                <w:rFonts w:ascii="Times New Roman" w:eastAsia="標楷體" w:hAnsi="Times New Roman" w:cs="Times New Roman" w:hint="eastAsia"/>
              </w:rPr>
              <w:t>3</w:t>
            </w:r>
            <w:r w:rsidR="00942444">
              <w:rPr>
                <w:rFonts w:ascii="Times New Roman" w:eastAsia="標楷體" w:hAnsi="Times New Roman" w:cs="Times New Roman" w:hint="eastAsia"/>
              </w:rPr>
              <w:t>條之</w:t>
            </w:r>
            <w:r w:rsidR="00741323">
              <w:rPr>
                <w:rFonts w:ascii="Times New Roman" w:eastAsia="標楷體" w:hAnsi="Times New Roman" w:cs="Times New Roman" w:hint="eastAsia"/>
              </w:rPr>
              <w:t>2</w:t>
            </w:r>
          </w:p>
        </w:tc>
      </w:tr>
      <w:tr w:rsidR="003C290C" w:rsidRPr="0099399A" w14:paraId="19898A02" w14:textId="77777777" w:rsidTr="00622397">
        <w:tc>
          <w:tcPr>
            <w:tcW w:w="5382" w:type="dxa"/>
          </w:tcPr>
          <w:p w14:paraId="2138207D" w14:textId="05F863BB" w:rsidR="00952063" w:rsidRDefault="003C290C" w:rsidP="00622397">
            <w:pPr>
              <w:spacing w:beforeLines="25" w:before="90" w:afterLines="25" w:after="90" w:line="280" w:lineRule="exact"/>
              <w:ind w:leftChars="50" w:left="600" w:hangingChars="200" w:hanging="48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99399A">
              <w:rPr>
                <w:rFonts w:ascii="Times New Roman" w:eastAsia="標楷體" w:hAnsi="Times New Roman" w:cs="Times New Roman"/>
              </w:rPr>
              <w:t>二、有</w:t>
            </w:r>
            <w:proofErr w:type="gramStart"/>
            <w:r w:rsidRPr="0099399A">
              <w:rPr>
                <w:rFonts w:ascii="Times New Roman" w:eastAsia="標楷體" w:hAnsi="Times New Roman" w:cs="Times New Roman"/>
              </w:rPr>
              <w:t>無</w:t>
            </w:r>
            <w:r w:rsidRPr="0099399A">
              <w:rPr>
                <w:rFonts w:ascii="Times New Roman" w:eastAsia="標楷體" w:hAnsi="Times New Roman" w:cs="Times New Roman"/>
                <w:szCs w:val="24"/>
              </w:rPr>
              <w:t>依</w:t>
            </w:r>
            <w:r w:rsidR="00E31F9C">
              <w:rPr>
                <w:rFonts w:ascii="Times New Roman" w:eastAsia="標楷體" w:hAnsi="Times New Roman" w:cs="Times New Roman" w:hint="eastAsia"/>
                <w:szCs w:val="24"/>
              </w:rPr>
              <w:t>永續</w:t>
            </w:r>
            <w:proofErr w:type="gramEnd"/>
            <w:r w:rsidR="003D674E">
              <w:rPr>
                <w:rFonts w:ascii="Times New Roman" w:eastAsia="標楷體" w:hAnsi="Times New Roman" w:cs="Times New Roman" w:hint="eastAsia"/>
              </w:rPr>
              <w:t>發展</w:t>
            </w:r>
            <w:r w:rsidRPr="0099399A">
              <w:rPr>
                <w:rFonts w:ascii="Times New Roman" w:eastAsia="標楷體" w:hAnsi="Times New Roman" w:cs="Times New Roman"/>
                <w:szCs w:val="24"/>
              </w:rPr>
              <w:t>政策訂定</w:t>
            </w:r>
            <w:r w:rsidR="003D674E">
              <w:rPr>
                <w:rFonts w:ascii="Times New Roman" w:eastAsia="標楷體" w:hAnsi="Times New Roman" w:cs="Times New Roman" w:hint="eastAsia"/>
                <w:szCs w:val="24"/>
              </w:rPr>
              <w:t>分層負責架構、</w:t>
            </w:r>
            <w:r w:rsidR="00E242A9">
              <w:rPr>
                <w:rFonts w:ascii="Times New Roman" w:eastAsia="標楷體" w:hAnsi="Times New Roman" w:cs="Times New Roman" w:hint="eastAsia"/>
                <w:szCs w:val="24"/>
              </w:rPr>
              <w:t>相關</w:t>
            </w:r>
            <w:r w:rsidR="007819EC">
              <w:rPr>
                <w:rFonts w:ascii="Times New Roman" w:eastAsia="標楷體" w:hAnsi="Times New Roman" w:cs="Times New Roman" w:hint="eastAsia"/>
                <w:szCs w:val="24"/>
              </w:rPr>
              <w:t>內部</w:t>
            </w:r>
            <w:r w:rsidRPr="0099399A">
              <w:rPr>
                <w:rFonts w:ascii="Times New Roman" w:eastAsia="標楷體" w:hAnsi="Times New Roman" w:cs="Times New Roman"/>
                <w:szCs w:val="24"/>
              </w:rPr>
              <w:t>作業規範</w:t>
            </w:r>
            <w:r w:rsidR="00041508">
              <w:rPr>
                <w:rFonts w:ascii="Times New Roman" w:eastAsia="標楷體" w:hAnsi="Times New Roman" w:cs="Times New Roman" w:hint="eastAsia"/>
                <w:szCs w:val="24"/>
              </w:rPr>
              <w:t>，並</w:t>
            </w:r>
            <w:r w:rsidR="00DA5D6C">
              <w:rPr>
                <w:rFonts w:ascii="Times New Roman" w:eastAsia="標楷體" w:hAnsi="Times New Roman" w:cs="Times New Roman" w:hint="eastAsia"/>
                <w:szCs w:val="24"/>
              </w:rPr>
              <w:t>定期評估</w:t>
            </w:r>
            <w:r w:rsidR="00041508" w:rsidRPr="00041508">
              <w:rPr>
                <w:rFonts w:ascii="Times New Roman" w:eastAsia="標楷體" w:hAnsi="Times New Roman" w:cs="Times New Roman" w:hint="eastAsia"/>
              </w:rPr>
              <w:t>實施成效及持續改進，以確保永續發展政策之落實</w:t>
            </w:r>
            <w:r w:rsidRPr="0099399A">
              <w:rPr>
                <w:rFonts w:ascii="Times New Roman" w:eastAsia="標楷體" w:hAnsi="Times New Roman" w:cs="Times New Roman"/>
                <w:szCs w:val="24"/>
              </w:rPr>
              <w:t>？</w:t>
            </w:r>
          </w:p>
          <w:p w14:paraId="0BE56E17" w14:textId="2A0D803F" w:rsidR="00DA59F2" w:rsidRPr="00952063" w:rsidRDefault="00DA59F2" w:rsidP="009E395A">
            <w:pPr>
              <w:spacing w:beforeLines="25" w:before="90" w:afterLines="25" w:after="90" w:line="280" w:lineRule="exact"/>
              <w:ind w:leftChars="50" w:left="600" w:hangingChars="200" w:hanging="48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BBD0E57" w14:textId="77777777" w:rsidR="003C290C" w:rsidRPr="0099399A" w:rsidRDefault="003C290C" w:rsidP="00622397">
            <w:pPr>
              <w:spacing w:beforeLines="25" w:before="90" w:afterLines="25" w:after="90" w:line="280" w:lineRule="exact"/>
              <w:ind w:leftChars="50" w:left="12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14:paraId="1EDC2355" w14:textId="77777777" w:rsidR="003C290C" w:rsidRPr="0099399A" w:rsidRDefault="003C290C" w:rsidP="00622397">
            <w:pPr>
              <w:spacing w:beforeLines="25" w:before="90" w:afterLines="25" w:after="90" w:line="280" w:lineRule="exact"/>
              <w:ind w:leftChars="50" w:left="12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14:paraId="448F6378" w14:textId="65C011B2" w:rsidR="00666A40" w:rsidRDefault="00666A40" w:rsidP="00622397">
            <w:pPr>
              <w:spacing w:beforeLines="20" w:before="72" w:afterLines="20" w:after="72" w:line="260" w:lineRule="exact"/>
              <w:ind w:left="192" w:hangingChars="80" w:hanging="19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1.</w:t>
            </w:r>
            <w:r w:rsidR="003E1349">
              <w:rPr>
                <w:rFonts w:ascii="Times New Roman" w:eastAsia="標楷體" w:hAnsi="Times New Roman" w:cs="Times New Roman"/>
              </w:rPr>
              <w:t>上市上櫃公司永續發展實務守則</w:t>
            </w:r>
            <w:r w:rsidR="003C290C" w:rsidRPr="0099399A">
              <w:rPr>
                <w:rFonts w:ascii="Times New Roman" w:eastAsia="標楷體" w:hAnsi="Times New Roman" w:cs="Times New Roman"/>
              </w:rPr>
              <w:t>第</w:t>
            </w:r>
            <w:r w:rsidR="003C290C" w:rsidRPr="0099399A">
              <w:rPr>
                <w:rFonts w:ascii="Times New Roman" w:eastAsia="標楷體" w:hAnsi="Times New Roman" w:cs="Times New Roman"/>
              </w:rPr>
              <w:t>7</w:t>
            </w:r>
            <w:r w:rsidR="003C290C" w:rsidRPr="0099399A">
              <w:rPr>
                <w:rFonts w:ascii="Times New Roman" w:eastAsia="標楷體" w:hAnsi="Times New Roman" w:cs="Times New Roman"/>
              </w:rPr>
              <w:t>條第</w:t>
            </w:r>
            <w:r w:rsidR="003C290C" w:rsidRPr="0099399A">
              <w:rPr>
                <w:rFonts w:ascii="Times New Roman" w:eastAsia="標楷體" w:hAnsi="Times New Roman" w:cs="Times New Roman"/>
              </w:rPr>
              <w:t>1</w:t>
            </w:r>
            <w:r w:rsidR="003C290C" w:rsidRPr="0099399A">
              <w:rPr>
                <w:rFonts w:ascii="Times New Roman" w:eastAsia="標楷體" w:hAnsi="Times New Roman" w:cs="Times New Roman"/>
              </w:rPr>
              <w:t>項、</w:t>
            </w:r>
            <w:r w:rsidR="004779B4">
              <w:rPr>
                <w:rFonts w:ascii="Times New Roman" w:eastAsia="標楷體" w:hAnsi="Times New Roman" w:cs="Times New Roman" w:hint="eastAsia"/>
              </w:rPr>
              <w:t>第</w:t>
            </w:r>
            <w:r w:rsidR="004779B4">
              <w:rPr>
                <w:rFonts w:ascii="Times New Roman" w:eastAsia="標楷體" w:hAnsi="Times New Roman" w:cs="Times New Roman" w:hint="eastAsia"/>
              </w:rPr>
              <w:t>9</w:t>
            </w:r>
            <w:r w:rsidR="004779B4">
              <w:rPr>
                <w:rFonts w:ascii="Times New Roman" w:eastAsia="標楷體" w:hAnsi="Times New Roman" w:cs="Times New Roman" w:hint="eastAsia"/>
              </w:rPr>
              <w:t>條</w:t>
            </w:r>
            <w:r w:rsidR="003D674E">
              <w:rPr>
                <w:rFonts w:ascii="Times New Roman" w:eastAsia="標楷體" w:hAnsi="Times New Roman" w:cs="Times New Roman" w:hint="eastAsia"/>
              </w:rPr>
              <w:t>、</w:t>
            </w:r>
            <w:r w:rsidR="003C290C" w:rsidRPr="0099399A">
              <w:rPr>
                <w:rFonts w:ascii="Times New Roman" w:eastAsia="標楷體" w:hAnsi="Times New Roman" w:cs="Times New Roman"/>
              </w:rPr>
              <w:t>第</w:t>
            </w:r>
            <w:r w:rsidR="003C290C" w:rsidRPr="0099399A">
              <w:rPr>
                <w:rFonts w:ascii="Times New Roman" w:eastAsia="標楷體" w:hAnsi="Times New Roman" w:cs="Times New Roman"/>
              </w:rPr>
              <w:t>13</w:t>
            </w:r>
            <w:r w:rsidR="003C290C" w:rsidRPr="0099399A">
              <w:rPr>
                <w:rFonts w:ascii="Times New Roman" w:eastAsia="標楷體" w:hAnsi="Times New Roman" w:cs="Times New Roman"/>
              </w:rPr>
              <w:t>條</w:t>
            </w:r>
          </w:p>
          <w:p w14:paraId="7CFA049B" w14:textId="4E741C8F" w:rsidR="00666A40" w:rsidRDefault="00371360" w:rsidP="00622397">
            <w:pPr>
              <w:spacing w:beforeLines="20" w:before="72" w:afterLines="20" w:after="72" w:line="260" w:lineRule="exact"/>
              <w:ind w:left="192" w:hangingChars="80" w:hanging="19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2</w:t>
            </w:r>
            <w:r w:rsidR="00666A40">
              <w:rPr>
                <w:rFonts w:ascii="Times New Roman" w:eastAsia="標楷體" w:hAnsi="Times New Roman" w:cs="Times New Roman" w:hint="eastAsia"/>
              </w:rPr>
              <w:t>.</w:t>
            </w:r>
            <w:r w:rsidR="00942444" w:rsidRPr="00942444">
              <w:rPr>
                <w:rFonts w:ascii="Times New Roman" w:eastAsia="標楷體" w:hAnsi="Times New Roman" w:cs="Times New Roman"/>
              </w:rPr>
              <w:t>證券商公司治理實務守則</w:t>
            </w:r>
            <w:r w:rsidR="00942444">
              <w:rPr>
                <w:rFonts w:ascii="Times New Roman" w:eastAsia="標楷體" w:hAnsi="Times New Roman" w:cs="Times New Roman" w:hint="eastAsia"/>
              </w:rPr>
              <w:t>第</w:t>
            </w:r>
            <w:r w:rsidR="00942444">
              <w:rPr>
                <w:rFonts w:ascii="Times New Roman" w:eastAsia="標楷體" w:hAnsi="Times New Roman" w:cs="Times New Roman" w:hint="eastAsia"/>
              </w:rPr>
              <w:t>3</w:t>
            </w:r>
            <w:r w:rsidR="00942444">
              <w:rPr>
                <w:rFonts w:ascii="Times New Roman" w:eastAsia="標楷體" w:hAnsi="Times New Roman" w:cs="Times New Roman" w:hint="eastAsia"/>
              </w:rPr>
              <w:t>條之</w:t>
            </w:r>
            <w:r w:rsidR="00741323">
              <w:rPr>
                <w:rFonts w:ascii="Times New Roman" w:eastAsia="標楷體" w:hAnsi="Times New Roman" w:cs="Times New Roman" w:hint="eastAsia"/>
              </w:rPr>
              <w:t>3</w:t>
            </w:r>
            <w:r w:rsidR="00C050FA">
              <w:rPr>
                <w:rFonts w:ascii="Times New Roman" w:eastAsia="標楷體" w:hAnsi="Times New Roman" w:cs="Times New Roman" w:hint="eastAsia"/>
              </w:rPr>
              <w:t>、第</w:t>
            </w:r>
            <w:r w:rsidR="00C050FA">
              <w:rPr>
                <w:rFonts w:ascii="Times New Roman" w:eastAsia="標楷體" w:hAnsi="Times New Roman" w:cs="Times New Roman" w:hint="eastAsia"/>
              </w:rPr>
              <w:t>37</w:t>
            </w:r>
            <w:r w:rsidR="00C050FA">
              <w:rPr>
                <w:rFonts w:ascii="Times New Roman" w:eastAsia="標楷體" w:hAnsi="Times New Roman" w:cs="Times New Roman" w:hint="eastAsia"/>
              </w:rPr>
              <w:t>條之</w:t>
            </w:r>
            <w:r w:rsidR="00741323">
              <w:rPr>
                <w:rFonts w:ascii="Times New Roman" w:eastAsia="標楷體" w:hAnsi="Times New Roman" w:cs="Times New Roman" w:hint="eastAsia"/>
              </w:rPr>
              <w:t>2</w:t>
            </w:r>
          </w:p>
          <w:p w14:paraId="357628A5" w14:textId="57787D14" w:rsidR="00666A40" w:rsidRDefault="00371360" w:rsidP="00622397">
            <w:pPr>
              <w:spacing w:beforeLines="20" w:before="72" w:afterLines="20" w:after="72" w:line="260" w:lineRule="exact"/>
              <w:ind w:left="192" w:hangingChars="80" w:hanging="19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3</w:t>
            </w:r>
            <w:r w:rsidR="00666A40">
              <w:rPr>
                <w:rFonts w:ascii="Times New Roman" w:eastAsia="標楷體" w:hAnsi="Times New Roman" w:cs="Times New Roman" w:hint="eastAsia"/>
              </w:rPr>
              <w:t>.</w:t>
            </w:r>
            <w:r w:rsidR="00AB2714" w:rsidRPr="00AB2714">
              <w:rPr>
                <w:rFonts w:ascii="Times New Roman" w:eastAsia="標楷體" w:hAnsi="Times New Roman" w:cs="Times New Roman"/>
              </w:rPr>
              <w:t>銀行業公司治理實務守則第</w:t>
            </w:r>
            <w:r w:rsidR="00AB2714" w:rsidRPr="00AB2714">
              <w:rPr>
                <w:rFonts w:ascii="Times New Roman" w:eastAsia="標楷體" w:hAnsi="Times New Roman" w:cs="Times New Roman"/>
              </w:rPr>
              <w:t>23</w:t>
            </w:r>
            <w:r w:rsidR="00AB2714" w:rsidRPr="00AB2714">
              <w:rPr>
                <w:rFonts w:ascii="Times New Roman" w:eastAsia="標楷體" w:hAnsi="Times New Roman" w:cs="Times New Roman"/>
              </w:rPr>
              <w:t>條</w:t>
            </w:r>
            <w:r w:rsidR="007201FB">
              <w:rPr>
                <w:rFonts w:ascii="Times New Roman" w:eastAsia="標楷體" w:hAnsi="Times New Roman" w:cs="Times New Roman" w:hint="eastAsia"/>
              </w:rPr>
              <w:t>之</w:t>
            </w:r>
            <w:r w:rsidR="00741323">
              <w:rPr>
                <w:rFonts w:ascii="Times New Roman" w:eastAsia="標楷體" w:hAnsi="Times New Roman" w:cs="Times New Roman" w:hint="eastAsia"/>
              </w:rPr>
              <w:t>1</w:t>
            </w:r>
          </w:p>
          <w:p w14:paraId="75803C39" w14:textId="44634E05" w:rsidR="00666A40" w:rsidRDefault="00371360" w:rsidP="00622397">
            <w:pPr>
              <w:spacing w:beforeLines="20" w:before="72" w:afterLines="20" w:after="72" w:line="260" w:lineRule="exact"/>
              <w:ind w:left="192" w:hangingChars="80" w:hanging="19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4</w:t>
            </w:r>
            <w:r w:rsidR="00666A40">
              <w:rPr>
                <w:rFonts w:ascii="Times New Roman" w:eastAsia="標楷體" w:hAnsi="Times New Roman" w:cs="Times New Roman" w:hint="eastAsia"/>
              </w:rPr>
              <w:t>.</w:t>
            </w:r>
            <w:r w:rsidR="00803641" w:rsidRPr="00803641">
              <w:rPr>
                <w:rFonts w:ascii="Times New Roman" w:eastAsia="標楷體" w:hAnsi="Times New Roman" w:cs="Times New Roman"/>
              </w:rPr>
              <w:t>保險業公司治理實務守則</w:t>
            </w:r>
            <w:r w:rsidR="00AB2714">
              <w:rPr>
                <w:rFonts w:ascii="Times New Roman" w:eastAsia="標楷體" w:hAnsi="Times New Roman" w:cs="Times New Roman" w:hint="eastAsia"/>
              </w:rPr>
              <w:t>第</w:t>
            </w:r>
            <w:r w:rsidR="00AB2714">
              <w:rPr>
                <w:rFonts w:ascii="Times New Roman" w:eastAsia="標楷體" w:hAnsi="Times New Roman" w:cs="Times New Roman" w:hint="eastAsia"/>
              </w:rPr>
              <w:t>22</w:t>
            </w:r>
            <w:r w:rsidR="00AB2714">
              <w:rPr>
                <w:rFonts w:ascii="Times New Roman" w:eastAsia="標楷體" w:hAnsi="Times New Roman" w:cs="Times New Roman" w:hint="eastAsia"/>
              </w:rPr>
              <w:t>條、第</w:t>
            </w:r>
            <w:r w:rsidR="00AB2714">
              <w:rPr>
                <w:rFonts w:ascii="Times New Roman" w:eastAsia="標楷體" w:hAnsi="Times New Roman" w:cs="Times New Roman" w:hint="eastAsia"/>
              </w:rPr>
              <w:t>24</w:t>
            </w:r>
            <w:r w:rsidR="00AB2714">
              <w:rPr>
                <w:rFonts w:ascii="Times New Roman" w:eastAsia="標楷體" w:hAnsi="Times New Roman" w:cs="Times New Roman" w:hint="eastAsia"/>
              </w:rPr>
              <w:t>條之</w:t>
            </w:r>
            <w:r w:rsidR="00741323">
              <w:rPr>
                <w:rFonts w:ascii="Times New Roman" w:eastAsia="標楷體" w:hAnsi="Times New Roman" w:cs="Times New Roman" w:hint="eastAsia"/>
              </w:rPr>
              <w:t>2</w:t>
            </w:r>
            <w:r w:rsidR="003D674E" w:rsidRPr="0099399A">
              <w:rPr>
                <w:rFonts w:ascii="Times New Roman" w:eastAsia="標楷體" w:hAnsi="Times New Roman" w:cs="Times New Roman"/>
              </w:rPr>
              <w:t>第</w:t>
            </w:r>
            <w:r w:rsidR="003D674E" w:rsidRPr="0099399A">
              <w:rPr>
                <w:rFonts w:ascii="Times New Roman" w:eastAsia="標楷體" w:hAnsi="Times New Roman" w:cs="Times New Roman"/>
              </w:rPr>
              <w:t>1</w:t>
            </w:r>
            <w:r w:rsidR="003D674E" w:rsidRPr="0099399A">
              <w:rPr>
                <w:rFonts w:ascii="Times New Roman" w:eastAsia="標楷體" w:hAnsi="Times New Roman" w:cs="Times New Roman"/>
              </w:rPr>
              <w:t>項</w:t>
            </w:r>
            <w:r w:rsidR="00AB2714">
              <w:rPr>
                <w:rFonts w:ascii="Times New Roman" w:eastAsia="標楷體" w:hAnsi="Times New Roman" w:cs="Times New Roman" w:hint="eastAsia"/>
              </w:rPr>
              <w:t>、第</w:t>
            </w:r>
            <w:r w:rsidR="00AB2714">
              <w:rPr>
                <w:rFonts w:ascii="Times New Roman" w:eastAsia="標楷體" w:hAnsi="Times New Roman" w:cs="Times New Roman" w:hint="eastAsia"/>
              </w:rPr>
              <w:t>28</w:t>
            </w:r>
            <w:r w:rsidR="00AB2714">
              <w:rPr>
                <w:rFonts w:ascii="Times New Roman" w:eastAsia="標楷體" w:hAnsi="Times New Roman" w:cs="Times New Roman" w:hint="eastAsia"/>
              </w:rPr>
              <w:t>條</w:t>
            </w:r>
          </w:p>
          <w:p w14:paraId="7E4433F0" w14:textId="04696E5F" w:rsidR="003C290C" w:rsidRPr="00AB2714" w:rsidRDefault="00262CFF" w:rsidP="00622397">
            <w:pPr>
              <w:spacing w:beforeLines="20" w:before="72" w:afterLines="20" w:after="72" w:line="260" w:lineRule="exact"/>
              <w:ind w:left="192" w:hangingChars="80" w:hanging="192"/>
              <w:jc w:val="both"/>
              <w:rPr>
                <w:rFonts w:ascii="Times New Roman" w:eastAsia="標楷體" w:hAnsi="Times New Roman" w:cs="Times New Roman"/>
              </w:rPr>
            </w:pPr>
            <w:r w:rsidDel="00262CFF">
              <w:rPr>
                <w:rFonts w:ascii="Times New Roman" w:eastAsia="標楷體" w:hAnsi="Times New Roman" w:cs="Times New Roman" w:hint="eastAsia"/>
              </w:rPr>
              <w:t xml:space="preserve"> </w:t>
            </w:r>
          </w:p>
        </w:tc>
      </w:tr>
      <w:tr w:rsidR="003D2254" w:rsidRPr="0099399A" w14:paraId="399E5768" w14:textId="77777777" w:rsidTr="00622397">
        <w:tc>
          <w:tcPr>
            <w:tcW w:w="5382" w:type="dxa"/>
          </w:tcPr>
          <w:p w14:paraId="2B65138E" w14:textId="415C160B" w:rsidR="003D2254" w:rsidRPr="0099399A" w:rsidRDefault="003D2254" w:rsidP="00F80DAC">
            <w:pPr>
              <w:spacing w:beforeLines="25" w:before="90" w:afterLines="25" w:after="90" w:line="280" w:lineRule="exact"/>
              <w:ind w:left="480" w:hangingChars="200" w:hanging="480"/>
              <w:jc w:val="both"/>
              <w:rPr>
                <w:rFonts w:ascii="Times New Roman" w:eastAsia="標楷體" w:hAnsi="Times New Roman" w:cs="Times New Roman"/>
                <w:b/>
                <w:bCs/>
              </w:rPr>
            </w:pPr>
            <w:r>
              <w:rPr>
                <w:rFonts w:ascii="Times New Roman" w:eastAsia="標楷體" w:hAnsi="Times New Roman" w:cs="Times New Roman" w:hint="eastAsia"/>
                <w:b/>
                <w:bCs/>
              </w:rPr>
              <w:lastRenderedPageBreak/>
              <w:t>貳</w:t>
            </w:r>
            <w:r w:rsidRPr="0099399A">
              <w:rPr>
                <w:rFonts w:ascii="Times New Roman" w:eastAsia="標楷體" w:hAnsi="Times New Roman" w:cs="Times New Roman"/>
                <w:b/>
                <w:bCs/>
              </w:rPr>
              <w:t>、</w:t>
            </w:r>
            <w:r w:rsidR="00A144B3">
              <w:rPr>
                <w:rFonts w:ascii="Times New Roman" w:eastAsia="標楷體" w:hAnsi="Times New Roman" w:cs="Times New Roman" w:hint="eastAsia"/>
                <w:b/>
                <w:bCs/>
              </w:rPr>
              <w:t>將</w:t>
            </w:r>
            <w:r w:rsidR="00A144B3">
              <w:rPr>
                <w:rFonts w:ascii="Times New Roman" w:eastAsia="標楷體" w:hAnsi="Times New Roman" w:cs="Times New Roman"/>
                <w:b/>
                <w:bCs/>
              </w:rPr>
              <w:t>永續</w:t>
            </w:r>
            <w:r w:rsidR="00A144B3">
              <w:rPr>
                <w:rFonts w:ascii="Times New Roman" w:eastAsia="標楷體" w:hAnsi="Times New Roman" w:cs="Times New Roman" w:hint="eastAsia"/>
                <w:b/>
                <w:bCs/>
              </w:rPr>
              <w:t>議題</w:t>
            </w:r>
            <w:r w:rsidR="00A144B3" w:rsidRPr="0099399A">
              <w:rPr>
                <w:rFonts w:ascii="Times New Roman" w:eastAsia="標楷體" w:hAnsi="Times New Roman" w:cs="Times New Roman"/>
                <w:b/>
                <w:bCs/>
              </w:rPr>
              <w:t>納入</w:t>
            </w:r>
            <w:r w:rsidRPr="0099399A">
              <w:rPr>
                <w:rFonts w:ascii="Times New Roman" w:eastAsia="標楷體" w:hAnsi="Times New Roman" w:cs="Times New Roman"/>
                <w:b/>
                <w:bCs/>
              </w:rPr>
              <w:t>整體風險管理機制</w:t>
            </w:r>
            <w:r w:rsidR="00C82F36">
              <w:rPr>
                <w:rStyle w:val="a7"/>
                <w:rFonts w:ascii="Times New Roman" w:eastAsia="標楷體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eastAsia="標楷體" w:hAnsi="Times New Roman" w:cs="Times New Roman" w:hint="eastAsia"/>
                <w:b/>
                <w:bCs/>
              </w:rPr>
              <w:t>之</w:t>
            </w:r>
            <w:r w:rsidR="00A144B3">
              <w:rPr>
                <w:rFonts w:ascii="Times New Roman" w:eastAsia="標楷體" w:hAnsi="Times New Roman" w:cs="Times New Roman" w:hint="eastAsia"/>
                <w:b/>
                <w:bCs/>
              </w:rPr>
              <w:t>辦理</w:t>
            </w:r>
            <w:r w:rsidRPr="0099399A">
              <w:rPr>
                <w:rFonts w:ascii="Times New Roman" w:eastAsia="標楷體" w:hAnsi="Times New Roman" w:cs="Times New Roman"/>
                <w:b/>
                <w:bCs/>
              </w:rPr>
              <w:t>方式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5FABFA43" w14:textId="77777777" w:rsidR="003D2254" w:rsidRPr="0099399A" w:rsidRDefault="003D2254" w:rsidP="00622397">
            <w:pPr>
              <w:spacing w:beforeLines="25" w:before="90" w:afterLines="25" w:after="90" w:line="280" w:lineRule="exact"/>
              <w:jc w:val="both"/>
              <w:rPr>
                <w:rFonts w:ascii="Times New Roman" w:eastAsia="標楷體" w:hAnsi="Times New Roman" w:cs="Times New Roman"/>
                <w:b/>
                <w:bCs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14:paraId="63ACC7B6" w14:textId="77777777" w:rsidR="003D2254" w:rsidRPr="0099399A" w:rsidRDefault="003D2254" w:rsidP="00622397">
            <w:pPr>
              <w:spacing w:beforeLines="25" w:before="90" w:afterLines="25" w:after="90" w:line="280" w:lineRule="exact"/>
              <w:jc w:val="both"/>
              <w:rPr>
                <w:rFonts w:ascii="Times New Roman" w:eastAsia="標楷體" w:hAnsi="Times New Roman" w:cs="Times New Roman"/>
                <w:b/>
                <w:bCs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</w:tcPr>
          <w:p w14:paraId="7676761E" w14:textId="77777777" w:rsidR="003D2254" w:rsidRPr="0099399A" w:rsidRDefault="003D2254" w:rsidP="00622397">
            <w:pPr>
              <w:spacing w:beforeLines="25" w:before="90" w:afterLines="25" w:after="90" w:line="280" w:lineRule="exact"/>
              <w:jc w:val="both"/>
              <w:rPr>
                <w:rFonts w:ascii="Times New Roman" w:eastAsia="標楷體" w:hAnsi="Times New Roman" w:cs="Times New Roman"/>
                <w:b/>
                <w:bCs/>
              </w:rPr>
            </w:pPr>
          </w:p>
        </w:tc>
      </w:tr>
      <w:tr w:rsidR="003D2254" w:rsidRPr="0099399A" w14:paraId="693779BD" w14:textId="77777777" w:rsidTr="00622397">
        <w:tc>
          <w:tcPr>
            <w:tcW w:w="5382" w:type="dxa"/>
          </w:tcPr>
          <w:p w14:paraId="04A109BD" w14:textId="5526F902" w:rsidR="003D2254" w:rsidRPr="008D3D6B" w:rsidRDefault="00AB0783" w:rsidP="008D3D6B">
            <w:pPr>
              <w:pStyle w:val="a4"/>
              <w:numPr>
                <w:ilvl w:val="0"/>
                <w:numId w:val="4"/>
              </w:numPr>
              <w:spacing w:beforeLines="25" w:before="90" w:afterLines="25" w:after="90" w:line="280" w:lineRule="exact"/>
              <w:ind w:leftChars="0"/>
              <w:jc w:val="both"/>
              <w:rPr>
                <w:rFonts w:ascii="Times New Roman" w:eastAsia="標楷體" w:hAnsi="Times New Roman"/>
              </w:rPr>
            </w:pPr>
            <w:r w:rsidRPr="00531B75">
              <w:rPr>
                <w:rFonts w:ascii="Times New Roman" w:eastAsia="標楷體" w:hAnsi="Times New Roman"/>
              </w:rPr>
              <w:t>是否將永續</w:t>
            </w:r>
            <w:r w:rsidRPr="00531B75">
              <w:rPr>
                <w:rFonts w:ascii="Times New Roman" w:eastAsia="標楷體" w:hAnsi="Times New Roman" w:hint="eastAsia"/>
              </w:rPr>
              <w:t>議題</w:t>
            </w:r>
            <w:r w:rsidR="004779B4" w:rsidRPr="00531B75">
              <w:rPr>
                <w:rFonts w:ascii="Times New Roman" w:eastAsia="標楷體" w:hAnsi="Times New Roman" w:hint="eastAsia"/>
              </w:rPr>
              <w:t>(</w:t>
            </w:r>
            <w:r w:rsidR="004779B4" w:rsidRPr="00531B75">
              <w:rPr>
                <w:rFonts w:ascii="Times New Roman" w:eastAsia="標楷體" w:hAnsi="Times New Roman" w:hint="eastAsia"/>
              </w:rPr>
              <w:t>含氣候風險</w:t>
            </w:r>
            <w:r w:rsidR="004779B4" w:rsidRPr="00531B75">
              <w:rPr>
                <w:rFonts w:ascii="Times New Roman" w:eastAsia="標楷體" w:hAnsi="Times New Roman" w:hint="eastAsia"/>
              </w:rPr>
              <w:t>)</w:t>
            </w:r>
            <w:r w:rsidRPr="00531B75">
              <w:rPr>
                <w:rFonts w:ascii="Times New Roman" w:eastAsia="標楷體" w:hAnsi="Times New Roman"/>
              </w:rPr>
              <w:t>納入</w:t>
            </w:r>
            <w:r w:rsidR="003D2254" w:rsidRPr="00531B75">
              <w:rPr>
                <w:rFonts w:ascii="Times New Roman" w:eastAsia="標楷體" w:hAnsi="Times New Roman"/>
              </w:rPr>
              <w:t>整體風險管理政策</w:t>
            </w:r>
            <w:r w:rsidRPr="00531B75">
              <w:rPr>
                <w:rFonts w:ascii="Times New Roman" w:eastAsia="標楷體" w:hAnsi="Times New Roman" w:hint="eastAsia"/>
              </w:rPr>
              <w:t>之一環</w:t>
            </w:r>
            <w:r w:rsidR="003D2254" w:rsidRPr="008D3D6B">
              <w:rPr>
                <w:rFonts w:ascii="Times New Roman" w:eastAsia="標楷體" w:hAnsi="Times New Roman"/>
              </w:rPr>
              <w:t>?</w:t>
            </w:r>
            <w:r w:rsidR="003D2254" w:rsidRPr="008D3D6B">
              <w:rPr>
                <w:rFonts w:ascii="Times New Roman" w:eastAsia="標楷體" w:hAnsi="Times New Roman"/>
              </w:rPr>
              <w:t>有無訂定相關管理作業規範及指派專責單位</w:t>
            </w:r>
            <w:r w:rsidR="003D2254" w:rsidRPr="008D3D6B">
              <w:rPr>
                <w:rFonts w:ascii="Times New Roman" w:eastAsia="標楷體" w:hAnsi="Times New Roman"/>
              </w:rPr>
              <w:t>(</w:t>
            </w:r>
            <w:r w:rsidR="003D2254" w:rsidRPr="008D3D6B">
              <w:rPr>
                <w:rFonts w:ascii="Times New Roman" w:eastAsia="標楷體" w:hAnsi="Times New Roman"/>
              </w:rPr>
              <w:t>人員</w:t>
            </w:r>
            <w:r w:rsidR="003D2254" w:rsidRPr="008D3D6B">
              <w:rPr>
                <w:rFonts w:ascii="Times New Roman" w:eastAsia="標楷體" w:hAnsi="Times New Roman"/>
              </w:rPr>
              <w:t>)</w:t>
            </w:r>
            <w:r w:rsidR="003D2254" w:rsidRPr="008D3D6B">
              <w:rPr>
                <w:rFonts w:ascii="Times New Roman" w:eastAsia="標楷體" w:hAnsi="Times New Roman"/>
              </w:rPr>
              <w:t>負責管理</w:t>
            </w:r>
            <w:r w:rsidR="003D2254" w:rsidRPr="008D3D6B">
              <w:rPr>
                <w:rFonts w:ascii="Times New Roman" w:eastAsia="標楷體" w:hAnsi="Times New Roman"/>
              </w:rPr>
              <w:t>?</w:t>
            </w:r>
            <w:r w:rsidR="003D2254" w:rsidRPr="008D3D6B">
              <w:rPr>
                <w:rFonts w:ascii="Times New Roman" w:eastAsia="標楷體" w:hAnsi="Times New Roman"/>
              </w:rPr>
              <w:t>是否就</w:t>
            </w:r>
            <w:r w:rsidR="00123E45" w:rsidRPr="008D3D6B">
              <w:rPr>
                <w:rFonts w:ascii="Times New Roman" w:eastAsia="標楷體" w:hAnsi="Times New Roman" w:hint="eastAsia"/>
              </w:rPr>
              <w:t>永續</w:t>
            </w:r>
            <w:r w:rsidRPr="008D3D6B">
              <w:rPr>
                <w:rFonts w:ascii="Times New Roman" w:eastAsia="標楷體" w:hAnsi="Times New Roman" w:hint="eastAsia"/>
              </w:rPr>
              <w:t>議題</w:t>
            </w:r>
            <w:r w:rsidR="003D2254" w:rsidRPr="008D3D6B">
              <w:rPr>
                <w:rFonts w:ascii="Times New Roman" w:eastAsia="標楷體" w:hAnsi="Times New Roman"/>
              </w:rPr>
              <w:t>可能對市場風險、信用風險、作業風險等產生之影響進行評估與管理</w:t>
            </w:r>
            <w:r w:rsidR="003D2254" w:rsidRPr="008D3D6B">
              <w:rPr>
                <w:rFonts w:ascii="Times New Roman" w:eastAsia="標楷體" w:hAnsi="Times New Roman"/>
              </w:rPr>
              <w:t>?</w:t>
            </w:r>
          </w:p>
          <w:p w14:paraId="0A8C0A06" w14:textId="7F5FE192" w:rsidR="008D3D6B" w:rsidRPr="008D3D6B" w:rsidRDefault="008D3D6B" w:rsidP="00531B75">
            <w:pPr>
              <w:spacing w:beforeLines="25" w:before="90" w:afterLines="25" w:after="90" w:line="280" w:lineRule="exact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</w:tcPr>
          <w:p w14:paraId="39694878" w14:textId="77777777" w:rsidR="003D2254" w:rsidRPr="0099399A" w:rsidRDefault="003D2254" w:rsidP="00622397">
            <w:pPr>
              <w:spacing w:beforeLines="25" w:before="90" w:afterLines="25" w:after="90" w:line="280" w:lineRule="exact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60" w:type="dxa"/>
          </w:tcPr>
          <w:p w14:paraId="170DF797" w14:textId="77777777" w:rsidR="003D2254" w:rsidRPr="0099399A" w:rsidRDefault="003D2254" w:rsidP="00622397">
            <w:pPr>
              <w:spacing w:beforeLines="25" w:before="90" w:afterLines="25" w:after="90" w:line="280" w:lineRule="exact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976" w:type="dxa"/>
          </w:tcPr>
          <w:p w14:paraId="0DE02716" w14:textId="77777777" w:rsidR="003D2254" w:rsidRDefault="003D2254" w:rsidP="00622397">
            <w:pPr>
              <w:spacing w:beforeLines="20" w:before="72" w:afterLines="20" w:after="72" w:line="260" w:lineRule="exact"/>
              <w:ind w:left="192" w:hangingChars="80" w:hanging="19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1.</w:t>
            </w:r>
            <w:r>
              <w:rPr>
                <w:rFonts w:ascii="Times New Roman" w:eastAsia="標楷體" w:hAnsi="Times New Roman" w:cs="Times New Roman"/>
              </w:rPr>
              <w:t>上市上櫃公司永續發展實務守則</w:t>
            </w:r>
            <w:r w:rsidRPr="0099399A">
              <w:rPr>
                <w:rFonts w:ascii="Times New Roman" w:eastAsia="標楷體" w:hAnsi="Times New Roman" w:cs="Times New Roman"/>
              </w:rPr>
              <w:t>」第</w:t>
            </w:r>
            <w:r w:rsidRPr="0099399A">
              <w:rPr>
                <w:rFonts w:ascii="Times New Roman" w:eastAsia="標楷體" w:hAnsi="Times New Roman" w:cs="Times New Roman"/>
              </w:rPr>
              <w:t>3</w:t>
            </w:r>
            <w:r w:rsidRPr="0099399A">
              <w:rPr>
                <w:rFonts w:ascii="Times New Roman" w:eastAsia="標楷體" w:hAnsi="Times New Roman" w:cs="Times New Roman"/>
              </w:rPr>
              <w:t>條第</w:t>
            </w:r>
            <w:r w:rsidRPr="0099399A">
              <w:rPr>
                <w:rFonts w:ascii="Times New Roman" w:eastAsia="標楷體" w:hAnsi="Times New Roman" w:cs="Times New Roman"/>
              </w:rPr>
              <w:t>2</w:t>
            </w:r>
            <w:r w:rsidRPr="0099399A">
              <w:rPr>
                <w:rFonts w:ascii="Times New Roman" w:eastAsia="標楷體" w:hAnsi="Times New Roman" w:cs="Times New Roman"/>
              </w:rPr>
              <w:t>項</w:t>
            </w:r>
          </w:p>
          <w:p w14:paraId="4CAE76F4" w14:textId="08409484" w:rsidR="003D2254" w:rsidRDefault="0074427F" w:rsidP="00622397">
            <w:pPr>
              <w:spacing w:beforeLines="20" w:before="72" w:afterLines="20" w:after="72" w:line="260" w:lineRule="exact"/>
              <w:ind w:left="192" w:hangingChars="80" w:hanging="19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</w:t>
            </w:r>
            <w:r w:rsidR="003D2254">
              <w:rPr>
                <w:rFonts w:ascii="Times New Roman" w:eastAsia="標楷體" w:hAnsi="Times New Roman" w:cs="Times New Roman" w:hint="eastAsia"/>
              </w:rPr>
              <w:t>.</w:t>
            </w:r>
            <w:r w:rsidR="003D2254" w:rsidRPr="00551DA9">
              <w:rPr>
                <w:rFonts w:ascii="Times New Roman" w:eastAsia="標楷體" w:hAnsi="Times New Roman" w:cs="Times New Roman"/>
              </w:rPr>
              <w:t>本國銀行氣候風險財務揭露指引</w:t>
            </w:r>
          </w:p>
          <w:p w14:paraId="2E42A46A" w14:textId="77777777" w:rsidR="00C55B4A" w:rsidRDefault="0074427F" w:rsidP="00622397">
            <w:pPr>
              <w:spacing w:beforeLines="20" w:before="72" w:afterLines="20" w:after="72" w:line="260" w:lineRule="exact"/>
              <w:ind w:left="192" w:hangingChars="80" w:hanging="19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</w:t>
            </w:r>
            <w:r w:rsidR="003D2254">
              <w:rPr>
                <w:rFonts w:ascii="Times New Roman" w:eastAsia="標楷體" w:hAnsi="Times New Roman" w:cs="Times New Roman" w:hint="eastAsia"/>
              </w:rPr>
              <w:t>.</w:t>
            </w:r>
            <w:r w:rsidR="00C55B4A" w:rsidRPr="00927B52">
              <w:rPr>
                <w:rFonts w:ascii="Times New Roman" w:eastAsia="標楷體" w:hAnsi="Times New Roman" w:cs="Times New Roman" w:hint="eastAsia"/>
              </w:rPr>
              <w:t>保險業氣候相關風險財務揭露指引</w:t>
            </w:r>
          </w:p>
          <w:p w14:paraId="16DF880A" w14:textId="42DD0000" w:rsidR="00121245" w:rsidRDefault="0074427F" w:rsidP="00622397">
            <w:pPr>
              <w:spacing w:beforeLines="20" w:before="72" w:afterLines="20" w:after="72" w:line="260" w:lineRule="exact"/>
              <w:ind w:left="192" w:hangingChars="80" w:hanging="19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4</w:t>
            </w:r>
            <w:r w:rsidR="003D2254">
              <w:rPr>
                <w:rFonts w:ascii="Times New Roman" w:eastAsia="標楷體" w:hAnsi="Times New Roman" w:cs="Times New Roman" w:hint="eastAsia"/>
              </w:rPr>
              <w:t>.</w:t>
            </w:r>
            <w:r w:rsidR="00121245" w:rsidRPr="00121245">
              <w:rPr>
                <w:rFonts w:ascii="Times New Roman" w:eastAsia="標楷體" w:hAnsi="Times New Roman" w:cs="Times New Roman" w:hint="eastAsia"/>
              </w:rPr>
              <w:t>金融控股公司治理實務守則第</w:t>
            </w:r>
            <w:r w:rsidR="00121245">
              <w:rPr>
                <w:rFonts w:ascii="Times New Roman" w:eastAsia="標楷體" w:hAnsi="Times New Roman" w:cs="Times New Roman" w:hint="eastAsia"/>
              </w:rPr>
              <w:t>2</w:t>
            </w:r>
            <w:r w:rsidR="00121245">
              <w:rPr>
                <w:rFonts w:ascii="Times New Roman" w:eastAsia="標楷體" w:hAnsi="Times New Roman" w:cs="Times New Roman"/>
              </w:rPr>
              <w:t>9</w:t>
            </w:r>
            <w:r w:rsidR="00121245" w:rsidRPr="00121245">
              <w:rPr>
                <w:rFonts w:ascii="Times New Roman" w:eastAsia="標楷體" w:hAnsi="Times New Roman" w:cs="Times New Roman" w:hint="eastAsia"/>
              </w:rPr>
              <w:t>條</w:t>
            </w:r>
            <w:r w:rsidR="00121245">
              <w:rPr>
                <w:rFonts w:ascii="Times New Roman" w:eastAsia="標楷體" w:hAnsi="Times New Roman" w:cs="Times New Roman" w:hint="eastAsia"/>
              </w:rPr>
              <w:t>之</w:t>
            </w:r>
            <w:r w:rsidR="00741323">
              <w:rPr>
                <w:rFonts w:ascii="Times New Roman" w:eastAsia="標楷體" w:hAnsi="Times New Roman" w:cs="Times New Roman" w:hint="eastAsia"/>
              </w:rPr>
              <w:t>1</w:t>
            </w:r>
          </w:p>
          <w:p w14:paraId="2F654265" w14:textId="0476D539" w:rsidR="00A70639" w:rsidRDefault="00A70639" w:rsidP="00622397">
            <w:pPr>
              <w:spacing w:beforeLines="20" w:before="72" w:afterLines="20" w:after="72" w:line="260" w:lineRule="exact"/>
              <w:ind w:left="192" w:hangingChars="80" w:hanging="19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5.</w:t>
            </w:r>
            <w:r>
              <w:rPr>
                <w:rFonts w:ascii="Times New Roman" w:eastAsia="標楷體" w:hAnsi="Times New Roman" w:cs="Times New Roman" w:hint="eastAsia"/>
              </w:rPr>
              <w:t>銀行業公司</w:t>
            </w:r>
            <w:r w:rsidRPr="00A70639">
              <w:rPr>
                <w:rFonts w:ascii="Times New Roman" w:eastAsia="標楷體" w:hAnsi="Times New Roman" w:cs="Times New Roman" w:hint="eastAsia"/>
              </w:rPr>
              <w:t>治理實務守則第</w:t>
            </w:r>
            <w:r>
              <w:rPr>
                <w:rFonts w:ascii="Times New Roman" w:eastAsia="標楷體" w:hAnsi="Times New Roman" w:cs="Times New Roman" w:hint="eastAsia"/>
              </w:rPr>
              <w:t>2</w:t>
            </w:r>
            <w:r>
              <w:rPr>
                <w:rFonts w:ascii="Times New Roman" w:eastAsia="標楷體" w:hAnsi="Times New Roman" w:cs="Times New Roman"/>
              </w:rPr>
              <w:t>9</w:t>
            </w:r>
            <w:r w:rsidRPr="00A70639">
              <w:rPr>
                <w:rFonts w:ascii="Times New Roman" w:eastAsia="標楷體" w:hAnsi="Times New Roman" w:cs="Times New Roman" w:hint="eastAsia"/>
              </w:rPr>
              <w:t>條</w:t>
            </w:r>
            <w:r>
              <w:rPr>
                <w:rFonts w:ascii="Times New Roman" w:eastAsia="標楷體" w:hAnsi="Times New Roman" w:cs="Times New Roman" w:hint="eastAsia"/>
              </w:rPr>
              <w:t>之</w:t>
            </w:r>
            <w:r>
              <w:rPr>
                <w:rFonts w:ascii="Times New Roman" w:eastAsia="標楷體" w:hAnsi="Times New Roman" w:cs="Times New Roman" w:hint="eastAsia"/>
              </w:rPr>
              <w:t>2</w:t>
            </w:r>
          </w:p>
          <w:p w14:paraId="5DDE8D6C" w14:textId="20E03962" w:rsidR="00A70639" w:rsidRDefault="00A70639" w:rsidP="00622397">
            <w:pPr>
              <w:spacing w:beforeLines="20" w:before="72" w:afterLines="20" w:after="72" w:line="260" w:lineRule="exact"/>
              <w:ind w:left="192" w:hangingChars="80" w:hanging="19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6</w:t>
            </w:r>
            <w:r>
              <w:rPr>
                <w:rFonts w:ascii="Times New Roman" w:eastAsia="標楷體" w:hAnsi="Times New Roman" w:cs="Times New Roman"/>
              </w:rPr>
              <w:t>.</w:t>
            </w:r>
            <w:r w:rsidRPr="00A70639">
              <w:rPr>
                <w:rFonts w:ascii="Times New Roman" w:eastAsia="標楷體" w:hAnsi="Times New Roman" w:cs="Times New Roman" w:hint="eastAsia"/>
              </w:rPr>
              <w:t>票</w:t>
            </w:r>
            <w:proofErr w:type="gramStart"/>
            <w:r w:rsidRPr="00A70639">
              <w:rPr>
                <w:rFonts w:ascii="Times New Roman" w:eastAsia="標楷體" w:hAnsi="Times New Roman" w:cs="Times New Roman" w:hint="eastAsia"/>
              </w:rPr>
              <w:t>券</w:t>
            </w:r>
            <w:proofErr w:type="gramEnd"/>
            <w:r w:rsidRPr="00A70639">
              <w:rPr>
                <w:rFonts w:ascii="Times New Roman" w:eastAsia="標楷體" w:hAnsi="Times New Roman" w:cs="Times New Roman" w:hint="eastAsia"/>
              </w:rPr>
              <w:t>金融</w:t>
            </w:r>
            <w:proofErr w:type="gramStart"/>
            <w:r w:rsidRPr="00A70639">
              <w:rPr>
                <w:rFonts w:ascii="Times New Roman" w:eastAsia="標楷體" w:hAnsi="Times New Roman" w:cs="Times New Roman" w:hint="eastAsia"/>
              </w:rPr>
              <w:t>公司公司</w:t>
            </w:r>
            <w:proofErr w:type="gramEnd"/>
            <w:r w:rsidRPr="00A70639">
              <w:rPr>
                <w:rFonts w:ascii="Times New Roman" w:eastAsia="標楷體" w:hAnsi="Times New Roman" w:cs="Times New Roman" w:hint="eastAsia"/>
              </w:rPr>
              <w:t>治理實務守則第</w:t>
            </w:r>
            <w:r>
              <w:rPr>
                <w:rFonts w:ascii="Times New Roman" w:eastAsia="標楷體" w:hAnsi="Times New Roman" w:cs="Times New Roman" w:hint="eastAsia"/>
              </w:rPr>
              <w:t>2</w:t>
            </w:r>
            <w:r>
              <w:rPr>
                <w:rFonts w:ascii="Times New Roman" w:eastAsia="標楷體" w:hAnsi="Times New Roman" w:cs="Times New Roman"/>
              </w:rPr>
              <w:t>9</w:t>
            </w:r>
            <w:r w:rsidRPr="00A70639">
              <w:rPr>
                <w:rFonts w:ascii="Times New Roman" w:eastAsia="標楷體" w:hAnsi="Times New Roman" w:cs="Times New Roman" w:hint="eastAsia"/>
              </w:rPr>
              <w:t>條</w:t>
            </w:r>
            <w:r>
              <w:rPr>
                <w:rFonts w:ascii="Times New Roman" w:eastAsia="標楷體" w:hAnsi="Times New Roman" w:cs="Times New Roman" w:hint="eastAsia"/>
              </w:rPr>
              <w:t>之</w:t>
            </w:r>
            <w:r>
              <w:rPr>
                <w:rFonts w:ascii="Times New Roman" w:eastAsia="標楷體" w:hAnsi="Times New Roman" w:cs="Times New Roman" w:hint="eastAsia"/>
              </w:rPr>
              <w:t>2</w:t>
            </w:r>
          </w:p>
          <w:p w14:paraId="5CBC75CE" w14:textId="117650B4" w:rsidR="003D2254" w:rsidRDefault="00741323" w:rsidP="00622397">
            <w:pPr>
              <w:spacing w:beforeLines="20" w:before="72" w:afterLines="20" w:after="72" w:line="260" w:lineRule="exact"/>
              <w:ind w:left="192" w:hangingChars="80" w:hanging="19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7</w:t>
            </w:r>
            <w:r w:rsidR="00121245">
              <w:rPr>
                <w:rFonts w:ascii="Times New Roman" w:eastAsia="標楷體" w:hAnsi="Times New Roman" w:cs="Times New Roman"/>
              </w:rPr>
              <w:t>.</w:t>
            </w:r>
            <w:r w:rsidR="003D2254" w:rsidRPr="00803641">
              <w:rPr>
                <w:rFonts w:ascii="Times New Roman" w:eastAsia="標楷體" w:hAnsi="Times New Roman" w:cs="Times New Roman"/>
              </w:rPr>
              <w:t>保險業公司治理實務守則</w:t>
            </w:r>
            <w:r w:rsidR="003D2254">
              <w:rPr>
                <w:rFonts w:ascii="Times New Roman" w:eastAsia="標楷體" w:hAnsi="Times New Roman" w:cs="Times New Roman" w:hint="eastAsia"/>
              </w:rPr>
              <w:t>第</w:t>
            </w:r>
            <w:r w:rsidR="003D2254">
              <w:rPr>
                <w:rFonts w:ascii="Times New Roman" w:eastAsia="標楷體" w:hAnsi="Times New Roman" w:cs="Times New Roman" w:hint="eastAsia"/>
              </w:rPr>
              <w:t>24</w:t>
            </w:r>
            <w:r w:rsidR="003D2254">
              <w:rPr>
                <w:rFonts w:ascii="Times New Roman" w:eastAsia="標楷體" w:hAnsi="Times New Roman" w:cs="Times New Roman" w:hint="eastAsia"/>
              </w:rPr>
              <w:t>條之</w:t>
            </w:r>
            <w:r>
              <w:rPr>
                <w:rFonts w:ascii="Times New Roman" w:eastAsia="標楷體" w:hAnsi="Times New Roman" w:cs="Times New Roman" w:hint="eastAsia"/>
              </w:rPr>
              <w:t>2</w:t>
            </w:r>
            <w:r w:rsidR="003D674E" w:rsidRPr="0099399A">
              <w:rPr>
                <w:rFonts w:ascii="Times New Roman" w:eastAsia="標楷體" w:hAnsi="Times New Roman" w:cs="Times New Roman"/>
              </w:rPr>
              <w:t>第</w:t>
            </w:r>
            <w:r w:rsidR="003D674E">
              <w:rPr>
                <w:rFonts w:ascii="Times New Roman" w:eastAsia="標楷體" w:hAnsi="Times New Roman" w:cs="Times New Roman"/>
              </w:rPr>
              <w:t>2</w:t>
            </w:r>
            <w:r w:rsidR="003D674E" w:rsidRPr="0099399A">
              <w:rPr>
                <w:rFonts w:ascii="Times New Roman" w:eastAsia="標楷體" w:hAnsi="Times New Roman" w:cs="Times New Roman"/>
              </w:rPr>
              <w:t>項</w:t>
            </w:r>
          </w:p>
          <w:p w14:paraId="359D28EA" w14:textId="19E25719" w:rsidR="003D2254" w:rsidRPr="0099399A" w:rsidRDefault="00741323" w:rsidP="00C55B4A">
            <w:pPr>
              <w:spacing w:beforeLines="20" w:before="72" w:afterLines="20" w:after="72" w:line="260" w:lineRule="exact"/>
              <w:ind w:left="192" w:hangingChars="80" w:hanging="19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8</w:t>
            </w:r>
            <w:r w:rsidR="003D2254">
              <w:rPr>
                <w:rFonts w:ascii="Times New Roman" w:eastAsia="標楷體" w:hAnsi="Times New Roman" w:cs="Times New Roman" w:hint="eastAsia"/>
              </w:rPr>
              <w:t>.</w:t>
            </w:r>
            <w:r w:rsidR="00C55B4A" w:rsidRPr="00942444">
              <w:rPr>
                <w:rFonts w:ascii="Times New Roman" w:eastAsia="標楷體" w:hAnsi="Times New Roman" w:cs="Times New Roman"/>
              </w:rPr>
              <w:t>證券商公司治理實務守則</w:t>
            </w:r>
            <w:r w:rsidR="00C55B4A">
              <w:rPr>
                <w:rFonts w:ascii="Times New Roman" w:eastAsia="標楷體" w:hAnsi="Times New Roman" w:cs="Times New Roman" w:hint="eastAsia"/>
              </w:rPr>
              <w:t>第</w:t>
            </w:r>
            <w:r w:rsidR="00C55B4A">
              <w:rPr>
                <w:rFonts w:ascii="Times New Roman" w:eastAsia="標楷體" w:hAnsi="Times New Roman" w:cs="Times New Roman" w:hint="eastAsia"/>
              </w:rPr>
              <w:t>27</w:t>
            </w:r>
            <w:r w:rsidR="00C55B4A">
              <w:rPr>
                <w:rFonts w:ascii="Times New Roman" w:eastAsia="標楷體" w:hAnsi="Times New Roman" w:cs="Times New Roman" w:hint="eastAsia"/>
              </w:rPr>
              <w:t>條及第</w:t>
            </w:r>
            <w:r w:rsidR="00C55B4A">
              <w:rPr>
                <w:rFonts w:ascii="Times New Roman" w:eastAsia="標楷體" w:hAnsi="Times New Roman" w:cs="Times New Roman" w:hint="eastAsia"/>
              </w:rPr>
              <w:t>28</w:t>
            </w:r>
            <w:r w:rsidR="00C55B4A">
              <w:rPr>
                <w:rFonts w:ascii="Times New Roman" w:eastAsia="標楷體" w:hAnsi="Times New Roman" w:cs="Times New Roman" w:hint="eastAsia"/>
              </w:rPr>
              <w:t>條之</w:t>
            </w:r>
            <w:r>
              <w:rPr>
                <w:rFonts w:ascii="Times New Roman" w:eastAsia="標楷體" w:hAnsi="Times New Roman" w:cs="Times New Roman" w:hint="eastAsia"/>
              </w:rPr>
              <w:t>4</w:t>
            </w:r>
            <w:r w:rsidR="00C55B4A" w:rsidRPr="0099399A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9E30BB" w:rsidRPr="009E30BB" w14:paraId="58A4AC4C" w14:textId="77777777" w:rsidTr="00622397">
        <w:tc>
          <w:tcPr>
            <w:tcW w:w="5382" w:type="dxa"/>
          </w:tcPr>
          <w:p w14:paraId="1046349C" w14:textId="497AB552" w:rsidR="008D3D6B" w:rsidRPr="008D3D6B" w:rsidRDefault="006F0283" w:rsidP="00531B75">
            <w:pPr>
              <w:spacing w:beforeLines="25" w:before="90" w:afterLines="25" w:after="90" w:line="280" w:lineRule="exact"/>
              <w:ind w:leftChars="73" w:left="600" w:hangingChars="177" w:hanging="425"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二</w:t>
            </w:r>
            <w:r>
              <w:rPr>
                <w:rFonts w:ascii="標楷體" w:eastAsia="標楷體" w:hAnsi="標楷體" w:hint="eastAsia"/>
              </w:rPr>
              <w:t>、</w:t>
            </w:r>
            <w:r w:rsidR="003D2254" w:rsidRPr="008D3D6B">
              <w:rPr>
                <w:rFonts w:ascii="Times New Roman" w:eastAsia="標楷體" w:hAnsi="Times New Roman"/>
              </w:rPr>
              <w:t>對於</w:t>
            </w:r>
            <w:r w:rsidR="00123E45" w:rsidRPr="008D3D6B">
              <w:rPr>
                <w:rFonts w:ascii="Times New Roman" w:eastAsia="標楷體" w:hAnsi="Times New Roman" w:hint="eastAsia"/>
              </w:rPr>
              <w:t>永續</w:t>
            </w:r>
            <w:r w:rsidR="00AB0783" w:rsidRPr="008D3D6B">
              <w:rPr>
                <w:rFonts w:ascii="Times New Roman" w:eastAsia="標楷體" w:hAnsi="Times New Roman" w:hint="eastAsia"/>
              </w:rPr>
              <w:t>議題</w:t>
            </w:r>
            <w:r w:rsidR="003D2254" w:rsidRPr="008D3D6B">
              <w:rPr>
                <w:rFonts w:ascii="Times New Roman" w:eastAsia="標楷體" w:hAnsi="Times New Roman"/>
              </w:rPr>
              <w:t>可能產生之衝擊，有無</w:t>
            </w:r>
            <w:r w:rsidR="00083CE6">
              <w:rPr>
                <w:rFonts w:ascii="Times New Roman" w:eastAsia="標楷體" w:hAnsi="Times New Roman" w:hint="eastAsia"/>
              </w:rPr>
              <w:t>進行風險辨識、評估與</w:t>
            </w:r>
            <w:proofErr w:type="gramStart"/>
            <w:r w:rsidR="003D2254" w:rsidRPr="008D3D6B">
              <w:rPr>
                <w:rFonts w:ascii="Times New Roman" w:eastAsia="標楷體" w:hAnsi="Times New Roman"/>
              </w:rPr>
              <w:t>研</w:t>
            </w:r>
            <w:proofErr w:type="gramEnd"/>
            <w:r w:rsidR="003D2254" w:rsidRPr="008D3D6B">
              <w:rPr>
                <w:rFonts w:ascii="Times New Roman" w:eastAsia="標楷體" w:hAnsi="Times New Roman"/>
              </w:rPr>
              <w:t>擬</w:t>
            </w:r>
            <w:r w:rsidR="003D2254" w:rsidRPr="008D3D6B">
              <w:rPr>
                <w:rFonts w:ascii="Times New Roman" w:eastAsia="標楷體" w:hAnsi="Times New Roman"/>
              </w:rPr>
              <w:t>/</w:t>
            </w:r>
            <w:r w:rsidR="003D2254" w:rsidRPr="008D3D6B">
              <w:rPr>
                <w:rFonts w:ascii="Times New Roman" w:eastAsia="標楷體" w:hAnsi="Times New Roman"/>
              </w:rPr>
              <w:t>規劃相對應之妥適風險因應策略與計畫執行時程</w:t>
            </w:r>
            <w:r w:rsidR="003D2254" w:rsidRPr="008D3D6B">
              <w:rPr>
                <w:rFonts w:ascii="Times New Roman" w:eastAsia="標楷體" w:hAnsi="Times New Roman"/>
              </w:rPr>
              <w:t>?</w:t>
            </w:r>
            <w:r w:rsidR="003D2254" w:rsidRPr="00531B75">
              <w:rPr>
                <w:rFonts w:ascii="Times New Roman" w:eastAsia="標楷體" w:hAnsi="Times New Roman" w:hint="eastAsia"/>
              </w:rPr>
              <w:t>面對新興</w:t>
            </w:r>
            <w:r w:rsidR="00123E45" w:rsidRPr="00531B75">
              <w:rPr>
                <w:rFonts w:ascii="Times New Roman" w:eastAsia="標楷體" w:hAnsi="Times New Roman" w:hint="eastAsia"/>
              </w:rPr>
              <w:t>永續</w:t>
            </w:r>
            <w:r w:rsidR="00AB0783" w:rsidRPr="00531B75">
              <w:rPr>
                <w:rFonts w:ascii="Times New Roman" w:eastAsia="標楷體" w:hAnsi="Times New Roman" w:hint="eastAsia"/>
              </w:rPr>
              <w:t>議題</w:t>
            </w:r>
            <w:r w:rsidR="00123E45" w:rsidRPr="00531B75">
              <w:rPr>
                <w:rFonts w:ascii="Times New Roman" w:eastAsia="標楷體" w:hAnsi="Times New Roman" w:hint="eastAsia"/>
              </w:rPr>
              <w:t>相關風險</w:t>
            </w:r>
            <w:r w:rsidR="003D2254" w:rsidRPr="00531B75">
              <w:rPr>
                <w:rFonts w:ascii="Times New Roman" w:eastAsia="標楷體" w:hAnsi="Times New Roman" w:hint="eastAsia"/>
              </w:rPr>
              <w:t>，</w:t>
            </w:r>
            <w:r w:rsidR="00041508" w:rsidRPr="00531B75">
              <w:rPr>
                <w:rFonts w:ascii="Times New Roman" w:eastAsia="標楷體" w:hAnsi="Times New Roman" w:hint="eastAsia"/>
              </w:rPr>
              <w:t>整體風險管理機制</w:t>
            </w:r>
            <w:r w:rsidR="00CF2E43" w:rsidRPr="00531B75">
              <w:rPr>
                <w:rFonts w:ascii="Times New Roman" w:eastAsia="標楷體" w:hAnsi="Times New Roman" w:hint="eastAsia"/>
              </w:rPr>
              <w:t>有無</w:t>
            </w:r>
            <w:r w:rsidR="00041508" w:rsidRPr="00531B75">
              <w:rPr>
                <w:rFonts w:ascii="Times New Roman" w:eastAsia="標楷體" w:hAnsi="Times New Roman" w:hint="eastAsia"/>
              </w:rPr>
              <w:t>適時</w:t>
            </w:r>
            <w:r w:rsidR="00083CE6" w:rsidRPr="00531B75">
              <w:rPr>
                <w:rFonts w:ascii="Times New Roman" w:eastAsia="標楷體" w:hAnsi="Times New Roman" w:hint="eastAsia"/>
              </w:rPr>
              <w:t>調整，</w:t>
            </w:r>
            <w:r w:rsidR="00CF2E43" w:rsidRPr="00531B75">
              <w:rPr>
                <w:rFonts w:ascii="Times New Roman" w:eastAsia="標楷體" w:hAnsi="Times New Roman" w:hint="eastAsia"/>
              </w:rPr>
              <w:t>及</w:t>
            </w:r>
            <w:r w:rsidR="00041508" w:rsidRPr="00531B75">
              <w:rPr>
                <w:rFonts w:ascii="Times New Roman" w:eastAsia="標楷體" w:hAnsi="Times New Roman" w:hint="eastAsia"/>
              </w:rPr>
              <w:t>進行</w:t>
            </w:r>
            <w:r w:rsidR="00083CE6" w:rsidRPr="00531B75">
              <w:rPr>
                <w:rFonts w:ascii="Times New Roman" w:eastAsia="標楷體" w:hAnsi="Times New Roman" w:hint="eastAsia"/>
              </w:rPr>
              <w:t>妥適</w:t>
            </w:r>
            <w:r w:rsidR="00041508" w:rsidRPr="00531B75">
              <w:rPr>
                <w:rFonts w:ascii="Times New Roman" w:eastAsia="標楷體" w:hAnsi="Times New Roman" w:hint="eastAsia"/>
              </w:rPr>
              <w:t>管理</w:t>
            </w:r>
            <w:r w:rsidR="00041508" w:rsidRPr="00531B75">
              <w:rPr>
                <w:rFonts w:ascii="Times New Roman" w:eastAsia="標楷體" w:hAnsi="Times New Roman" w:hint="eastAsia"/>
              </w:rPr>
              <w:t>?</w:t>
            </w:r>
          </w:p>
        </w:tc>
        <w:tc>
          <w:tcPr>
            <w:tcW w:w="850" w:type="dxa"/>
          </w:tcPr>
          <w:p w14:paraId="705CFC31" w14:textId="77777777" w:rsidR="003D2254" w:rsidRPr="009E30BB" w:rsidRDefault="003D2254" w:rsidP="00622397">
            <w:pPr>
              <w:spacing w:beforeLines="25" w:before="90" w:afterLines="25" w:after="90" w:line="280" w:lineRule="exact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60" w:type="dxa"/>
          </w:tcPr>
          <w:p w14:paraId="3A43D47E" w14:textId="77777777" w:rsidR="003D2254" w:rsidRPr="009E30BB" w:rsidRDefault="003D2254" w:rsidP="00622397">
            <w:pPr>
              <w:spacing w:beforeLines="25" w:before="90" w:after="25" w:line="280" w:lineRule="exact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976" w:type="dxa"/>
          </w:tcPr>
          <w:p w14:paraId="573BC6CE" w14:textId="77777777" w:rsidR="003D2254" w:rsidRPr="009E30BB" w:rsidRDefault="003D2254" w:rsidP="00622397">
            <w:pPr>
              <w:spacing w:beforeLines="20" w:before="72" w:afterLines="20" w:after="72" w:line="260" w:lineRule="exact"/>
              <w:ind w:left="192" w:hangingChars="80" w:hanging="192"/>
              <w:jc w:val="both"/>
              <w:rPr>
                <w:rFonts w:ascii="Times New Roman" w:eastAsia="標楷體" w:hAnsi="Times New Roman" w:cs="Times New Roman"/>
              </w:rPr>
            </w:pPr>
            <w:r w:rsidRPr="009E30BB">
              <w:rPr>
                <w:rFonts w:ascii="Times New Roman" w:eastAsia="標楷體" w:hAnsi="Times New Roman" w:cs="Times New Roman" w:hint="eastAsia"/>
              </w:rPr>
              <w:t>1.</w:t>
            </w:r>
            <w:r w:rsidRPr="009E30BB">
              <w:rPr>
                <w:rFonts w:ascii="Times New Roman" w:eastAsia="標楷體" w:hAnsi="Times New Roman" w:cs="Times New Roman"/>
              </w:rPr>
              <w:t>上市上櫃公司永續發展實務守則第</w:t>
            </w:r>
            <w:r w:rsidRPr="009E30BB">
              <w:rPr>
                <w:rFonts w:ascii="Times New Roman" w:eastAsia="標楷體" w:hAnsi="Times New Roman" w:cs="Times New Roman"/>
              </w:rPr>
              <w:t>3</w:t>
            </w:r>
            <w:r w:rsidRPr="009E30BB">
              <w:rPr>
                <w:rFonts w:ascii="Times New Roman" w:eastAsia="標楷體" w:hAnsi="Times New Roman" w:cs="Times New Roman"/>
              </w:rPr>
              <w:t>條第</w:t>
            </w:r>
            <w:r w:rsidRPr="009E30BB">
              <w:rPr>
                <w:rFonts w:ascii="Times New Roman" w:eastAsia="標楷體" w:hAnsi="Times New Roman" w:cs="Times New Roman"/>
              </w:rPr>
              <w:t>2</w:t>
            </w:r>
            <w:r w:rsidRPr="009E30BB">
              <w:rPr>
                <w:rFonts w:ascii="Times New Roman" w:eastAsia="標楷體" w:hAnsi="Times New Roman" w:cs="Times New Roman"/>
              </w:rPr>
              <w:t>項</w:t>
            </w:r>
          </w:p>
          <w:p w14:paraId="51BF9DA5" w14:textId="06627C14" w:rsidR="003D2254" w:rsidRPr="009E30BB" w:rsidRDefault="008C380C" w:rsidP="00622397">
            <w:pPr>
              <w:spacing w:beforeLines="20" w:before="72" w:afterLines="20" w:after="72" w:line="260" w:lineRule="exact"/>
              <w:ind w:left="192" w:hangingChars="80" w:hanging="19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</w:t>
            </w:r>
            <w:r w:rsidR="003D2254" w:rsidRPr="009E30BB">
              <w:rPr>
                <w:rFonts w:ascii="Times New Roman" w:eastAsia="標楷體" w:hAnsi="Times New Roman" w:cs="Times New Roman" w:hint="eastAsia"/>
              </w:rPr>
              <w:t>.</w:t>
            </w:r>
            <w:r w:rsidR="003D2254" w:rsidRPr="009E30BB">
              <w:rPr>
                <w:rFonts w:ascii="Times New Roman" w:eastAsia="標楷體" w:hAnsi="Times New Roman" w:cs="Times New Roman"/>
              </w:rPr>
              <w:t>本國銀行氣候風險財務揭露指引</w:t>
            </w:r>
          </w:p>
          <w:p w14:paraId="3F0FB522" w14:textId="02C63E14" w:rsidR="003D2254" w:rsidRPr="009E30BB" w:rsidRDefault="008C380C" w:rsidP="00622397">
            <w:pPr>
              <w:spacing w:beforeLines="20" w:before="72" w:afterLines="20" w:after="72" w:line="260" w:lineRule="exact"/>
              <w:ind w:left="192" w:hangingChars="80" w:hanging="19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</w:t>
            </w:r>
            <w:r w:rsidR="003D2254" w:rsidRPr="009E30BB">
              <w:rPr>
                <w:rFonts w:ascii="Times New Roman" w:eastAsia="標楷體" w:hAnsi="Times New Roman" w:cs="Times New Roman" w:hint="eastAsia"/>
              </w:rPr>
              <w:t>.</w:t>
            </w:r>
            <w:r w:rsidR="003D2254" w:rsidRPr="009E30BB">
              <w:rPr>
                <w:rFonts w:ascii="Times New Roman" w:eastAsia="標楷體" w:hAnsi="Times New Roman" w:cs="Times New Roman" w:hint="eastAsia"/>
              </w:rPr>
              <w:t>保險業氣候相關風險財務揭露指引</w:t>
            </w:r>
          </w:p>
        </w:tc>
      </w:tr>
      <w:tr w:rsidR="009E30BB" w:rsidRPr="009E30BB" w14:paraId="20A9F59F" w14:textId="77777777" w:rsidTr="00622397">
        <w:tc>
          <w:tcPr>
            <w:tcW w:w="5382" w:type="dxa"/>
          </w:tcPr>
          <w:p w14:paraId="398C5C8A" w14:textId="02D90BA5" w:rsidR="003C290C" w:rsidRPr="009E30BB" w:rsidRDefault="003D2254" w:rsidP="00622397">
            <w:pPr>
              <w:spacing w:beforeLines="25" w:before="90" w:afterLines="25" w:after="90" w:line="280" w:lineRule="exact"/>
              <w:jc w:val="both"/>
              <w:rPr>
                <w:rFonts w:ascii="Times New Roman" w:eastAsia="標楷體" w:hAnsi="Times New Roman" w:cs="Times New Roman"/>
              </w:rPr>
            </w:pPr>
            <w:r w:rsidRPr="009E30BB">
              <w:rPr>
                <w:rFonts w:ascii="Times New Roman" w:eastAsia="標楷體" w:hAnsi="Times New Roman" w:cs="Times New Roman" w:hint="eastAsia"/>
                <w:b/>
                <w:bCs/>
              </w:rPr>
              <w:t>參</w:t>
            </w:r>
            <w:r w:rsidR="003C290C" w:rsidRPr="009E30BB">
              <w:rPr>
                <w:rFonts w:ascii="Times New Roman" w:eastAsia="標楷體" w:hAnsi="Times New Roman" w:cs="Times New Roman"/>
                <w:b/>
                <w:bCs/>
              </w:rPr>
              <w:t>、</w:t>
            </w:r>
            <w:r w:rsidR="00952063" w:rsidRPr="009E30BB">
              <w:rPr>
                <w:rFonts w:ascii="Times New Roman" w:eastAsia="標楷體" w:hAnsi="Times New Roman" w:cs="Times New Roman" w:hint="eastAsia"/>
                <w:b/>
                <w:bCs/>
              </w:rPr>
              <w:t>主要</w:t>
            </w:r>
            <w:r w:rsidR="003C290C" w:rsidRPr="009E30BB">
              <w:rPr>
                <w:rFonts w:ascii="Times New Roman" w:eastAsia="標楷體" w:hAnsi="Times New Roman" w:cs="Times New Roman"/>
                <w:b/>
                <w:bCs/>
              </w:rPr>
              <w:t>業務</w:t>
            </w:r>
            <w:r w:rsidR="003C290C" w:rsidRPr="009E30BB">
              <w:rPr>
                <w:rFonts w:ascii="Times New Roman" w:eastAsia="標楷體" w:hAnsi="Times New Roman" w:cs="Times New Roman"/>
                <w:b/>
                <w:bCs/>
              </w:rPr>
              <w:t>(</w:t>
            </w:r>
            <w:r w:rsidR="003C290C" w:rsidRPr="009E30BB">
              <w:rPr>
                <w:rFonts w:ascii="Times New Roman" w:eastAsia="標楷體" w:hAnsi="Times New Roman" w:cs="Times New Roman"/>
                <w:b/>
                <w:bCs/>
              </w:rPr>
              <w:t>商品</w:t>
            </w:r>
            <w:r w:rsidR="003C290C" w:rsidRPr="009E30BB">
              <w:rPr>
                <w:rFonts w:ascii="Times New Roman" w:eastAsia="標楷體" w:hAnsi="Times New Roman" w:cs="Times New Roman"/>
                <w:b/>
                <w:bCs/>
              </w:rPr>
              <w:t>)</w:t>
            </w:r>
            <w:r w:rsidR="00952063" w:rsidRPr="009E30BB">
              <w:rPr>
                <w:rFonts w:ascii="Times New Roman" w:eastAsia="標楷體" w:hAnsi="Times New Roman" w:cs="Times New Roman" w:hint="eastAsia"/>
                <w:b/>
                <w:bCs/>
              </w:rPr>
              <w:t>納入永續議題管理情形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58C6ED61" w14:textId="77777777" w:rsidR="003C290C" w:rsidRPr="009E30BB" w:rsidRDefault="003C290C" w:rsidP="00622397">
            <w:pPr>
              <w:spacing w:beforeLines="25" w:before="90" w:afterLines="25" w:after="90" w:line="280" w:lineRule="exact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14:paraId="628D7482" w14:textId="77777777" w:rsidR="003C290C" w:rsidRPr="009E30BB" w:rsidRDefault="003C290C" w:rsidP="00622397">
            <w:pPr>
              <w:spacing w:beforeLines="25" w:before="90" w:afterLines="25" w:after="90" w:line="280" w:lineRule="exact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</w:tcPr>
          <w:p w14:paraId="67BB89FF" w14:textId="110571B5" w:rsidR="003C290C" w:rsidRPr="009E30BB" w:rsidRDefault="003C290C" w:rsidP="00622397">
            <w:pPr>
              <w:spacing w:beforeLines="25" w:before="90" w:afterLines="25" w:after="90" w:line="280" w:lineRule="exact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9E30BB" w:rsidRPr="009E30BB" w14:paraId="30BA4251" w14:textId="77777777" w:rsidTr="00622397">
        <w:tc>
          <w:tcPr>
            <w:tcW w:w="5382" w:type="dxa"/>
          </w:tcPr>
          <w:p w14:paraId="3E5375D8" w14:textId="60949E95" w:rsidR="002801B1" w:rsidRPr="00A176BB" w:rsidRDefault="008F53B3" w:rsidP="001041A5">
            <w:pPr>
              <w:spacing w:beforeLines="25" w:before="90" w:afterLines="25" w:after="90" w:line="280" w:lineRule="exact"/>
              <w:ind w:leftChars="50" w:left="540" w:hangingChars="175" w:hanging="420"/>
              <w:jc w:val="both"/>
              <w:rPr>
                <w:rFonts w:ascii="Times New Roman" w:eastAsia="標楷體" w:hAnsi="Times New Roman"/>
              </w:rPr>
            </w:pPr>
            <w:r w:rsidRPr="00A176BB">
              <w:rPr>
                <w:rFonts w:ascii="Times New Roman" w:eastAsia="標楷體" w:hAnsi="Times New Roman" w:hint="eastAsia"/>
                <w:b/>
                <w:bCs/>
              </w:rPr>
              <w:t>一</w:t>
            </w:r>
            <w:r w:rsidRPr="00A176BB">
              <w:rPr>
                <w:rFonts w:ascii="標楷體" w:eastAsia="標楷體" w:hAnsi="標楷體" w:hint="eastAsia"/>
                <w:b/>
                <w:bCs/>
              </w:rPr>
              <w:t>、</w:t>
            </w:r>
            <w:r w:rsidR="00416718" w:rsidRPr="00A176BB">
              <w:rPr>
                <w:rFonts w:ascii="Times New Roman" w:eastAsia="標楷體" w:hAnsi="Times New Roman" w:hint="eastAsia"/>
                <w:b/>
                <w:bCs/>
              </w:rPr>
              <w:t>授信業務</w:t>
            </w:r>
            <w:r w:rsidR="00416718" w:rsidRPr="00A176BB">
              <w:rPr>
                <w:rFonts w:ascii="Times New Roman" w:eastAsia="標楷體" w:hAnsi="Times New Roman"/>
                <w:b/>
                <w:bCs/>
              </w:rPr>
              <w:t>:</w:t>
            </w:r>
            <w:r w:rsidR="009A69D8" w:rsidRPr="00A176BB">
              <w:rPr>
                <w:rFonts w:ascii="Times New Roman" w:eastAsia="標楷體" w:hAnsi="Times New Roman"/>
              </w:rPr>
              <w:t xml:space="preserve"> </w:t>
            </w:r>
          </w:p>
          <w:p w14:paraId="3CF955DB" w14:textId="2AF1ABBD" w:rsidR="002801B1" w:rsidRPr="009E30BB" w:rsidRDefault="00E20D9F" w:rsidP="00E20D9F">
            <w:pPr>
              <w:pStyle w:val="a4"/>
              <w:spacing w:beforeLines="25" w:before="90" w:afterLines="25" w:after="90" w:line="280" w:lineRule="exact"/>
              <w:ind w:leftChars="150" w:left="792" w:hangingChars="180" w:hanging="432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</w:rPr>
              <w:t>(</w:t>
            </w:r>
            <w:proofErr w:type="gramStart"/>
            <w:r>
              <w:rPr>
                <w:rFonts w:ascii="Times New Roman" w:eastAsia="標楷體" w:hAnsi="Times New Roman" w:hint="eastAsia"/>
              </w:rPr>
              <w:t>一</w:t>
            </w:r>
            <w:proofErr w:type="gramEnd"/>
            <w:r>
              <w:rPr>
                <w:rFonts w:ascii="Times New Roman" w:eastAsia="標楷體" w:hAnsi="Times New Roman" w:hint="eastAsia"/>
              </w:rPr>
              <w:t>)</w:t>
            </w:r>
            <w:r w:rsidR="009A69D8" w:rsidRPr="009E30BB">
              <w:rPr>
                <w:rFonts w:ascii="Times New Roman" w:eastAsia="標楷體" w:hAnsi="Times New Roman" w:hint="eastAsia"/>
              </w:rPr>
              <w:t>授信決策有無依據</w:t>
            </w:r>
            <w:r w:rsidR="00AB0783" w:rsidRPr="009E30BB">
              <w:rPr>
                <w:rFonts w:ascii="Times New Roman" w:eastAsia="標楷體" w:hAnsi="Times New Roman" w:hint="eastAsia"/>
              </w:rPr>
              <w:t>內部</w:t>
            </w:r>
            <w:r w:rsidR="00123E45" w:rsidRPr="009E30BB">
              <w:rPr>
                <w:rFonts w:ascii="Times New Roman" w:eastAsia="標楷體" w:hAnsi="Times New Roman" w:hint="eastAsia"/>
              </w:rPr>
              <w:t>永續相關</w:t>
            </w:r>
            <w:r w:rsidR="002801B1" w:rsidRPr="009E30BB">
              <w:rPr>
                <w:rFonts w:ascii="Times New Roman" w:eastAsia="標楷體" w:hAnsi="Times New Roman" w:hint="eastAsia"/>
                <w:szCs w:val="24"/>
              </w:rPr>
              <w:t>規範</w:t>
            </w:r>
            <w:r w:rsidR="009A69D8" w:rsidRPr="009E30BB">
              <w:rPr>
                <w:rFonts w:ascii="Times New Roman" w:eastAsia="標楷體" w:hAnsi="Times New Roman" w:hint="eastAsia"/>
              </w:rPr>
              <w:t>辦理</w:t>
            </w:r>
            <w:r w:rsidR="009A69D8" w:rsidRPr="009E30BB">
              <w:rPr>
                <w:rFonts w:ascii="Times New Roman" w:eastAsia="標楷體" w:hAnsi="Times New Roman"/>
              </w:rPr>
              <w:t>?</w:t>
            </w:r>
            <w:r w:rsidR="003C290C" w:rsidRPr="009E30BB">
              <w:rPr>
                <w:rFonts w:ascii="Times New Roman" w:eastAsia="標楷體" w:hAnsi="Times New Roman" w:hint="eastAsia"/>
              </w:rPr>
              <w:t>是否將</w:t>
            </w:r>
            <w:r w:rsidR="00123E45" w:rsidRPr="009E30BB">
              <w:rPr>
                <w:rFonts w:ascii="Times New Roman" w:eastAsia="標楷體" w:hAnsi="Times New Roman" w:hint="eastAsia"/>
              </w:rPr>
              <w:t>永續</w:t>
            </w:r>
            <w:r w:rsidR="00AB0783" w:rsidRPr="009E30BB">
              <w:rPr>
                <w:rFonts w:ascii="Times New Roman" w:eastAsia="標楷體" w:hAnsi="Times New Roman" w:hint="eastAsia"/>
              </w:rPr>
              <w:t>議題</w:t>
            </w:r>
            <w:r w:rsidR="003C290C" w:rsidRPr="009E30BB">
              <w:rPr>
                <w:rFonts w:ascii="Times New Roman" w:eastAsia="標楷體" w:hAnsi="Times New Roman" w:hint="eastAsia"/>
              </w:rPr>
              <w:t>納入</w:t>
            </w:r>
            <w:r w:rsidR="005773C0" w:rsidRPr="009E30BB">
              <w:rPr>
                <w:rFonts w:ascii="Times New Roman" w:eastAsia="標楷體" w:hAnsi="Times New Roman" w:hint="eastAsia"/>
              </w:rPr>
              <w:t>授信政策與</w:t>
            </w:r>
            <w:r w:rsidR="002801B1" w:rsidRPr="009E30BB">
              <w:rPr>
                <w:rFonts w:ascii="Times New Roman" w:eastAsia="標楷體" w:hAnsi="Times New Roman" w:hint="eastAsia"/>
              </w:rPr>
              <w:t>相關</w:t>
            </w:r>
            <w:r w:rsidR="005773C0" w:rsidRPr="009E30BB">
              <w:rPr>
                <w:rFonts w:ascii="Times New Roman" w:eastAsia="標楷體" w:hAnsi="Times New Roman" w:hint="eastAsia"/>
              </w:rPr>
              <w:t>作業規範</w:t>
            </w:r>
            <w:r w:rsidR="005773C0" w:rsidRPr="009E30BB">
              <w:rPr>
                <w:rFonts w:ascii="Times New Roman" w:eastAsia="標楷體" w:hAnsi="Times New Roman"/>
              </w:rPr>
              <w:t>?</w:t>
            </w:r>
          </w:p>
          <w:p w14:paraId="196BF365" w14:textId="166C8473" w:rsidR="003C290C" w:rsidRPr="00E20D9F" w:rsidRDefault="00E20D9F" w:rsidP="00E20D9F">
            <w:pPr>
              <w:pStyle w:val="a4"/>
              <w:spacing w:beforeLines="25" w:before="90" w:afterLines="25" w:after="90" w:line="280" w:lineRule="exact"/>
              <w:ind w:leftChars="150" w:left="792" w:hangingChars="180" w:hanging="432"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二</w:t>
            </w:r>
            <w:r>
              <w:rPr>
                <w:rFonts w:ascii="Times New Roman" w:eastAsia="標楷體" w:hAnsi="Times New Roman" w:hint="eastAsia"/>
                <w:szCs w:val="24"/>
              </w:rPr>
              <w:t>)</w:t>
            </w:r>
            <w:r w:rsidR="00416718" w:rsidRPr="009E30BB">
              <w:rPr>
                <w:rFonts w:ascii="Times New Roman" w:eastAsia="標楷體" w:hAnsi="Times New Roman" w:hint="eastAsia"/>
                <w:szCs w:val="24"/>
              </w:rPr>
              <w:t>辦理企業「綠色」、「</w:t>
            </w:r>
            <w:r w:rsidR="00416718" w:rsidRPr="009E30BB">
              <w:rPr>
                <w:rFonts w:ascii="Times New Roman" w:eastAsia="標楷體" w:hAnsi="Times New Roman"/>
                <w:szCs w:val="24"/>
              </w:rPr>
              <w:t>ESG</w:t>
            </w:r>
            <w:r w:rsidR="00416718" w:rsidRPr="009E30BB">
              <w:rPr>
                <w:rFonts w:ascii="Times New Roman" w:eastAsia="標楷體" w:hAnsi="Times New Roman" w:hint="eastAsia"/>
                <w:szCs w:val="24"/>
              </w:rPr>
              <w:t>」或「永續」等授信業務時，有無於</w:t>
            </w:r>
            <w:proofErr w:type="gramStart"/>
            <w:r w:rsidR="00416718" w:rsidRPr="009E30BB">
              <w:rPr>
                <w:rFonts w:ascii="Times New Roman" w:eastAsia="標楷體" w:hAnsi="Times New Roman" w:hint="eastAsia"/>
              </w:rPr>
              <w:t>核貸前</w:t>
            </w:r>
            <w:r w:rsidR="00416718" w:rsidRPr="00E20D9F">
              <w:rPr>
                <w:rFonts w:ascii="Times New Roman" w:eastAsia="標楷體" w:hAnsi="Times New Roman" w:hint="eastAsia"/>
              </w:rPr>
              <w:t>參酌</w:t>
            </w:r>
            <w:proofErr w:type="gramEnd"/>
            <w:r w:rsidR="00416718" w:rsidRPr="00E20D9F">
              <w:rPr>
                <w:rFonts w:ascii="Times New Roman" w:eastAsia="標楷體" w:hAnsi="Times New Roman" w:hint="eastAsia"/>
              </w:rPr>
              <w:t>「永續經濟活動認定參考指引」</w:t>
            </w:r>
            <w:r w:rsidR="002801B1" w:rsidRPr="00E20D9F">
              <w:rPr>
                <w:rFonts w:ascii="Times New Roman" w:eastAsia="標楷體" w:hAnsi="Times New Roman" w:hint="eastAsia"/>
              </w:rPr>
              <w:t>辦理</w:t>
            </w:r>
            <w:r w:rsidR="00952063" w:rsidRPr="00E20D9F">
              <w:rPr>
                <w:rFonts w:ascii="Times New Roman" w:eastAsia="標楷體" w:hAnsi="Times New Roman" w:hint="eastAsia"/>
              </w:rPr>
              <w:t>，</w:t>
            </w:r>
            <w:proofErr w:type="gramStart"/>
            <w:r w:rsidR="00416718" w:rsidRPr="00E20D9F">
              <w:rPr>
                <w:rFonts w:ascii="Times New Roman" w:eastAsia="標楷體" w:hAnsi="Times New Roman" w:hint="eastAsia"/>
              </w:rPr>
              <w:t>並就</w:t>
            </w:r>
            <w:r w:rsidR="00416718" w:rsidRPr="009E30BB">
              <w:rPr>
                <w:rFonts w:ascii="Times New Roman" w:eastAsia="標楷體" w:hAnsi="Times New Roman" w:hint="eastAsia"/>
              </w:rPr>
              <w:t>授信</w:t>
            </w:r>
            <w:proofErr w:type="gramEnd"/>
            <w:r w:rsidR="00416718" w:rsidRPr="009E30BB">
              <w:rPr>
                <w:rFonts w:ascii="Times New Roman" w:eastAsia="標楷體" w:hAnsi="Times New Roman" w:hint="eastAsia"/>
              </w:rPr>
              <w:t>案件可能面臨</w:t>
            </w:r>
            <w:r w:rsidR="002801B1" w:rsidRPr="009E30BB">
              <w:rPr>
                <w:rFonts w:ascii="Times New Roman" w:eastAsia="標楷體" w:hAnsi="Times New Roman" w:hint="eastAsia"/>
              </w:rPr>
              <w:t>之</w:t>
            </w:r>
            <w:proofErr w:type="gramStart"/>
            <w:r w:rsidR="00416718" w:rsidRPr="009E30BB">
              <w:rPr>
                <w:rFonts w:ascii="Times New Roman" w:eastAsia="標楷體" w:hAnsi="Times New Roman" w:hint="eastAsia"/>
              </w:rPr>
              <w:t>風險於貸後</w:t>
            </w:r>
            <w:proofErr w:type="gramEnd"/>
            <w:r w:rsidR="00416718" w:rsidRPr="009E30BB">
              <w:rPr>
                <w:rFonts w:ascii="Times New Roman" w:eastAsia="標楷體" w:hAnsi="Times New Roman" w:hint="eastAsia"/>
              </w:rPr>
              <w:t>定期進行評估</w:t>
            </w:r>
            <w:r w:rsidR="002801B1" w:rsidRPr="009E30BB">
              <w:rPr>
                <w:rFonts w:ascii="Times New Roman" w:eastAsia="標楷體" w:hAnsi="Times New Roman" w:hint="eastAsia"/>
              </w:rPr>
              <w:t>或與客戶</w:t>
            </w:r>
            <w:proofErr w:type="gramStart"/>
            <w:r w:rsidR="002801B1" w:rsidRPr="009E30BB">
              <w:rPr>
                <w:rFonts w:ascii="Times New Roman" w:eastAsia="標楷體" w:hAnsi="Times New Roman" w:hint="eastAsia"/>
              </w:rPr>
              <w:t>進行議合</w:t>
            </w:r>
            <w:proofErr w:type="gramEnd"/>
            <w:r w:rsidR="00DD6988" w:rsidRPr="00E20D9F">
              <w:rPr>
                <w:rFonts w:ascii="Times New Roman" w:eastAsia="標楷體" w:hAnsi="Times New Roman"/>
              </w:rPr>
              <w:t>?</w:t>
            </w:r>
          </w:p>
          <w:p w14:paraId="7FADFA05" w14:textId="0BF3CB32" w:rsidR="00D60681" w:rsidRPr="009E30BB" w:rsidRDefault="00E20D9F" w:rsidP="00E20D9F">
            <w:pPr>
              <w:pStyle w:val="a4"/>
              <w:spacing w:beforeLines="25" w:before="90" w:afterLines="25" w:after="90" w:line="280" w:lineRule="exact"/>
              <w:ind w:leftChars="150" w:left="792" w:hangingChars="180" w:hanging="432"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(</w:t>
            </w:r>
            <w:r>
              <w:rPr>
                <w:rFonts w:ascii="Times New Roman" w:eastAsia="標楷體" w:hAnsi="Times New Roman" w:hint="eastAsia"/>
              </w:rPr>
              <w:t>三</w:t>
            </w:r>
            <w:r>
              <w:rPr>
                <w:rFonts w:ascii="Times New Roman" w:eastAsia="標楷體" w:hAnsi="Times New Roman" w:hint="eastAsia"/>
              </w:rPr>
              <w:t>)</w:t>
            </w:r>
            <w:proofErr w:type="gramStart"/>
            <w:r w:rsidR="00D60681" w:rsidRPr="00E20D9F">
              <w:rPr>
                <w:rFonts w:ascii="Times New Roman" w:eastAsia="標楷體" w:hAnsi="Times New Roman" w:hint="eastAsia"/>
              </w:rPr>
              <w:t>承作</w:t>
            </w:r>
            <w:proofErr w:type="gramEnd"/>
            <w:r w:rsidR="00D60681" w:rsidRPr="00E20D9F">
              <w:rPr>
                <w:rFonts w:ascii="Times New Roman" w:eastAsia="標楷體" w:hAnsi="Times New Roman" w:hint="eastAsia"/>
              </w:rPr>
              <w:t>綠色授信</w:t>
            </w:r>
            <w:r w:rsidR="00D60681" w:rsidRPr="00E20D9F">
              <w:rPr>
                <w:rFonts w:ascii="Times New Roman" w:eastAsia="標楷體" w:hAnsi="Times New Roman" w:hint="eastAsia"/>
              </w:rPr>
              <w:t>/</w:t>
            </w:r>
            <w:r w:rsidR="00D60681" w:rsidRPr="00E20D9F">
              <w:rPr>
                <w:rFonts w:ascii="Times New Roman" w:eastAsia="標楷體" w:hAnsi="Times New Roman" w:hint="eastAsia"/>
              </w:rPr>
              <w:t>永續連結貸款，是否參考國際準則</w:t>
            </w:r>
            <w:r w:rsidR="00D60681" w:rsidRPr="00E20D9F">
              <w:rPr>
                <w:rFonts w:ascii="Times New Roman" w:eastAsia="標楷體" w:hAnsi="Times New Roman" w:hint="eastAsia"/>
              </w:rPr>
              <w:t>(</w:t>
            </w:r>
            <w:r w:rsidR="00D60681" w:rsidRPr="00E20D9F">
              <w:rPr>
                <w:rFonts w:ascii="Times New Roman" w:eastAsia="標楷體" w:hAnsi="Times New Roman" w:hint="eastAsia"/>
              </w:rPr>
              <w:t>如：</w:t>
            </w:r>
            <w:r w:rsidR="00D60681" w:rsidRPr="00E20D9F">
              <w:rPr>
                <w:rFonts w:ascii="Times New Roman" w:eastAsia="標楷體" w:hAnsi="Times New Roman"/>
              </w:rPr>
              <w:t>LMA</w:t>
            </w:r>
            <w:r w:rsidR="00D60681" w:rsidRPr="00AB12E2">
              <w:rPr>
                <w:rFonts w:ascii="Times New Roman" w:eastAsia="標楷體" w:hAnsi="Times New Roman" w:hint="eastAsia"/>
                <w:szCs w:val="24"/>
              </w:rPr>
              <w:t>、</w:t>
            </w:r>
            <w:r w:rsidR="00D60681" w:rsidRPr="00AB12E2">
              <w:rPr>
                <w:rFonts w:ascii="Times New Roman" w:eastAsia="標楷體" w:hAnsi="Times New Roman"/>
                <w:szCs w:val="24"/>
              </w:rPr>
              <w:t xml:space="preserve">LSTA </w:t>
            </w:r>
            <w:r w:rsidR="00D60681" w:rsidRPr="00AB12E2">
              <w:rPr>
                <w:rFonts w:ascii="Times New Roman" w:eastAsia="標楷體" w:hAnsi="Times New Roman" w:hint="eastAsia"/>
                <w:szCs w:val="24"/>
              </w:rPr>
              <w:t>及</w:t>
            </w:r>
            <w:r w:rsidR="00D60681" w:rsidRPr="00AB12E2">
              <w:rPr>
                <w:rFonts w:ascii="Times New Roman" w:eastAsia="標楷體" w:hAnsi="Times New Roman"/>
                <w:szCs w:val="24"/>
              </w:rPr>
              <w:t>APLMA</w:t>
            </w:r>
            <w:r w:rsidR="00D60681">
              <w:rPr>
                <w:rFonts w:ascii="Times New Roman" w:eastAsia="標楷體" w:hAnsi="Times New Roman" w:hint="eastAsia"/>
                <w:szCs w:val="24"/>
              </w:rPr>
              <w:t>等</w:t>
            </w:r>
            <w:r w:rsidR="00D60681">
              <w:rPr>
                <w:rFonts w:ascii="Times New Roman" w:eastAsia="標楷體" w:hAnsi="Times New Roman" w:hint="eastAsia"/>
                <w:szCs w:val="24"/>
              </w:rPr>
              <w:t>)</w:t>
            </w:r>
            <w:r w:rsidR="00D60681">
              <w:rPr>
                <w:rFonts w:ascii="Times New Roman" w:eastAsia="標楷體" w:hAnsi="Times New Roman" w:hint="eastAsia"/>
                <w:szCs w:val="24"/>
              </w:rPr>
              <w:t>辦理</w:t>
            </w:r>
            <w:r w:rsidR="00D60681">
              <w:rPr>
                <w:rFonts w:ascii="Times New Roman" w:eastAsia="標楷體" w:hAnsi="Times New Roman" w:hint="eastAsia"/>
                <w:szCs w:val="24"/>
              </w:rPr>
              <w:t>?</w:t>
            </w:r>
            <w:r w:rsidR="00D60681" w:rsidRPr="00AB12E2">
              <w:rPr>
                <w:rFonts w:ascii="Times New Roman" w:eastAsia="標楷體" w:hAnsi="Times New Roman" w:hint="eastAsia"/>
                <w:szCs w:val="24"/>
              </w:rPr>
              <w:t>如何</w:t>
            </w:r>
            <w:r w:rsidR="00D60681">
              <w:rPr>
                <w:rFonts w:ascii="Times New Roman" w:eastAsia="標楷體" w:hAnsi="Times New Roman" w:hint="eastAsia"/>
                <w:szCs w:val="24"/>
              </w:rPr>
              <w:t>確認</w:t>
            </w:r>
            <w:r w:rsidR="00D60681" w:rsidRPr="00AB12E2">
              <w:rPr>
                <w:rFonts w:ascii="Times New Roman" w:eastAsia="標楷體" w:hAnsi="Times New Roman" w:hint="eastAsia"/>
                <w:szCs w:val="24"/>
              </w:rPr>
              <w:t>客戶</w:t>
            </w:r>
            <w:r w:rsidR="00D60681">
              <w:rPr>
                <w:rFonts w:ascii="Times New Roman" w:eastAsia="標楷體" w:hAnsi="Times New Roman" w:hint="eastAsia"/>
                <w:szCs w:val="24"/>
              </w:rPr>
              <w:t>貸款資金</w:t>
            </w:r>
            <w:r w:rsidR="00D60681" w:rsidRPr="00AB12E2">
              <w:rPr>
                <w:rFonts w:ascii="Times New Roman" w:eastAsia="標楷體" w:hAnsi="Times New Roman" w:hint="eastAsia"/>
                <w:szCs w:val="24"/>
              </w:rPr>
              <w:t>用途符合</w:t>
            </w:r>
            <w:r w:rsidR="00D60681">
              <w:rPr>
                <w:rFonts w:ascii="Times New Roman" w:eastAsia="標楷體" w:hAnsi="Times New Roman" w:hint="eastAsia"/>
                <w:szCs w:val="24"/>
              </w:rPr>
              <w:t>所訂</w:t>
            </w:r>
            <w:r w:rsidR="00D60681" w:rsidRPr="00AB12E2">
              <w:rPr>
                <w:rFonts w:ascii="Times New Roman" w:eastAsia="標楷體" w:hAnsi="Times New Roman" w:hint="eastAsia"/>
                <w:szCs w:val="24"/>
              </w:rPr>
              <w:t>標準？</w:t>
            </w:r>
          </w:p>
        </w:tc>
        <w:tc>
          <w:tcPr>
            <w:tcW w:w="850" w:type="dxa"/>
          </w:tcPr>
          <w:p w14:paraId="505D9012" w14:textId="77777777" w:rsidR="003C290C" w:rsidRPr="009E30BB" w:rsidRDefault="003C290C" w:rsidP="00622397">
            <w:pPr>
              <w:spacing w:beforeLines="25" w:before="90" w:afterLines="25" w:after="90" w:line="280" w:lineRule="exact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60" w:type="dxa"/>
          </w:tcPr>
          <w:p w14:paraId="306CDEED" w14:textId="77777777" w:rsidR="003C290C" w:rsidRPr="009E30BB" w:rsidRDefault="003C290C" w:rsidP="00622397">
            <w:pPr>
              <w:spacing w:beforeLines="25" w:before="90" w:afterLines="25" w:after="90" w:line="280" w:lineRule="exact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976" w:type="dxa"/>
          </w:tcPr>
          <w:p w14:paraId="5DA9902E" w14:textId="00467B56" w:rsidR="00BA49BF" w:rsidRPr="009E30BB" w:rsidRDefault="00666A40" w:rsidP="00622397">
            <w:pPr>
              <w:spacing w:beforeLines="20" w:before="72" w:afterLines="20" w:after="72" w:line="260" w:lineRule="exact"/>
              <w:ind w:left="192" w:hangingChars="80" w:hanging="192"/>
              <w:jc w:val="both"/>
              <w:rPr>
                <w:rFonts w:ascii="Times New Roman" w:eastAsia="標楷體" w:hAnsi="Times New Roman" w:cs="Times New Roman"/>
              </w:rPr>
            </w:pPr>
            <w:r w:rsidRPr="009E30BB">
              <w:rPr>
                <w:rFonts w:ascii="Times New Roman" w:eastAsia="標楷體" w:hAnsi="Times New Roman" w:cs="Times New Roman" w:hint="eastAsia"/>
              </w:rPr>
              <w:t>1.</w:t>
            </w:r>
            <w:r w:rsidR="00B310F2">
              <w:rPr>
                <w:rFonts w:ascii="Times New Roman" w:eastAsia="標楷體" w:hAnsi="Times New Roman" w:cs="Times New Roman" w:hint="eastAsia"/>
              </w:rPr>
              <w:t>中華民國</w:t>
            </w:r>
            <w:r w:rsidR="003C290C" w:rsidRPr="009E30BB">
              <w:rPr>
                <w:rFonts w:ascii="Times New Roman" w:eastAsia="標楷體" w:hAnsi="Times New Roman" w:cs="Times New Roman"/>
              </w:rPr>
              <w:t>銀行公會會員授信準則</w:t>
            </w:r>
            <w:r w:rsidR="00083CE6" w:rsidRPr="00083CE6">
              <w:rPr>
                <w:rFonts w:ascii="Times New Roman" w:eastAsia="標楷體" w:hAnsi="Times New Roman" w:cs="Times New Roman" w:hint="eastAsia"/>
              </w:rPr>
              <w:t>第</w:t>
            </w:r>
            <w:r w:rsidR="00083CE6" w:rsidRPr="00083CE6">
              <w:rPr>
                <w:rFonts w:ascii="Times New Roman" w:eastAsia="標楷體" w:hAnsi="Times New Roman" w:cs="Times New Roman"/>
              </w:rPr>
              <w:t>20</w:t>
            </w:r>
            <w:r w:rsidR="00083CE6" w:rsidRPr="00083CE6">
              <w:rPr>
                <w:rFonts w:ascii="Times New Roman" w:eastAsia="標楷體" w:hAnsi="Times New Roman" w:cs="Times New Roman" w:hint="eastAsia"/>
              </w:rPr>
              <w:t>條之</w:t>
            </w:r>
            <w:r w:rsidR="00083CE6" w:rsidRPr="00083CE6">
              <w:rPr>
                <w:rFonts w:ascii="Times New Roman" w:eastAsia="標楷體" w:hAnsi="Times New Roman" w:cs="Times New Roman"/>
              </w:rPr>
              <w:t>5</w:t>
            </w:r>
            <w:r w:rsidR="00083CE6">
              <w:rPr>
                <w:rFonts w:hint="eastAsia"/>
                <w:kern w:val="0"/>
              </w:rPr>
              <w:t>、</w:t>
            </w:r>
            <w:r w:rsidR="00416718" w:rsidRPr="009E30BB">
              <w:rPr>
                <w:rFonts w:ascii="Times New Roman" w:eastAsia="標楷體" w:hAnsi="Times New Roman" w:cs="Times New Roman"/>
              </w:rPr>
              <w:t>第</w:t>
            </w:r>
            <w:r w:rsidR="00416718" w:rsidRPr="009E30BB">
              <w:rPr>
                <w:rFonts w:ascii="Times New Roman" w:eastAsia="標楷體" w:hAnsi="Times New Roman" w:cs="Times New Roman"/>
              </w:rPr>
              <w:t>20</w:t>
            </w:r>
            <w:r w:rsidR="00416718" w:rsidRPr="009E30BB">
              <w:rPr>
                <w:rFonts w:ascii="Times New Roman" w:eastAsia="標楷體" w:hAnsi="Times New Roman" w:cs="Times New Roman"/>
              </w:rPr>
              <w:t>條之</w:t>
            </w:r>
            <w:r w:rsidR="00741323">
              <w:rPr>
                <w:rFonts w:ascii="Times New Roman" w:eastAsia="標楷體" w:hAnsi="Times New Roman" w:cs="Times New Roman" w:hint="eastAsia"/>
              </w:rPr>
              <w:t>6</w:t>
            </w:r>
          </w:p>
          <w:p w14:paraId="1F4D7CD6" w14:textId="0CF28284" w:rsidR="00BA49BF" w:rsidRPr="009E30BB" w:rsidRDefault="008C380C" w:rsidP="00622397">
            <w:pPr>
              <w:spacing w:beforeLines="20" w:before="72" w:afterLines="20" w:after="72" w:line="260" w:lineRule="exact"/>
              <w:ind w:left="192" w:hangingChars="80" w:hanging="19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</w:t>
            </w:r>
            <w:r w:rsidR="00BA49BF" w:rsidRPr="009E30BB">
              <w:rPr>
                <w:rFonts w:ascii="Times New Roman" w:eastAsia="標楷體" w:hAnsi="Times New Roman" w:cs="Times New Roman" w:hint="eastAsia"/>
              </w:rPr>
              <w:t>.</w:t>
            </w:r>
            <w:r w:rsidR="00551DA9" w:rsidRPr="009E30BB">
              <w:rPr>
                <w:rFonts w:ascii="Times New Roman" w:eastAsia="標楷體" w:hAnsi="Times New Roman" w:cs="Times New Roman"/>
              </w:rPr>
              <w:t>本國銀行氣候風險財務揭露指引</w:t>
            </w:r>
          </w:p>
          <w:p w14:paraId="1FF7A11A" w14:textId="77777777" w:rsidR="003C290C" w:rsidRDefault="008C380C" w:rsidP="00622397">
            <w:pPr>
              <w:spacing w:beforeLines="20" w:before="72" w:afterLines="20" w:after="72" w:line="260" w:lineRule="exact"/>
              <w:ind w:left="192" w:hangingChars="80" w:hanging="19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</w:t>
            </w:r>
            <w:r w:rsidR="00BA49BF" w:rsidRPr="009E30BB">
              <w:rPr>
                <w:rFonts w:ascii="Times New Roman" w:eastAsia="標楷體" w:hAnsi="Times New Roman" w:cs="Times New Roman" w:hint="eastAsia"/>
              </w:rPr>
              <w:t>.</w:t>
            </w:r>
            <w:r w:rsidR="00E85965" w:rsidRPr="009E30BB">
              <w:rPr>
                <w:rFonts w:ascii="Times New Roman" w:eastAsia="標楷體" w:hAnsi="Times New Roman" w:cs="Times New Roman" w:hint="eastAsia"/>
              </w:rPr>
              <w:t>保險業氣候相關風險財務揭露指引</w:t>
            </w:r>
          </w:p>
          <w:p w14:paraId="5BB10283" w14:textId="35189AF7" w:rsidR="00D60681" w:rsidRPr="009E30BB" w:rsidRDefault="00D60681" w:rsidP="00622397">
            <w:pPr>
              <w:spacing w:beforeLines="20" w:before="72" w:afterLines="20" w:after="72" w:line="260" w:lineRule="exact"/>
              <w:ind w:left="192" w:hangingChars="80" w:hanging="19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4</w:t>
            </w:r>
            <w:r>
              <w:rPr>
                <w:rFonts w:ascii="Times New Roman" w:eastAsia="標楷體" w:hAnsi="Times New Roman" w:cs="Times New Roman"/>
              </w:rPr>
              <w:t>.</w:t>
            </w:r>
            <w:r w:rsidR="005A5D12" w:rsidRPr="005A5D12">
              <w:rPr>
                <w:rFonts w:ascii="Times New Roman" w:eastAsia="標楷體" w:hAnsi="Times New Roman" w:cs="Times New Roman" w:hint="eastAsia"/>
              </w:rPr>
              <w:t>永續連結貸款</w:t>
            </w:r>
            <w:r w:rsidR="005A5D12">
              <w:rPr>
                <w:rFonts w:ascii="Times New Roman" w:eastAsia="標楷體" w:hAnsi="Times New Roman" w:cs="Times New Roman" w:hint="eastAsia"/>
              </w:rPr>
              <w:t>等國際準則</w:t>
            </w:r>
            <w:r w:rsidR="005A5D12">
              <w:rPr>
                <w:rFonts w:ascii="Times New Roman" w:eastAsia="標楷體" w:hAnsi="Times New Roman" w:cs="Times New Roman" w:hint="eastAsia"/>
              </w:rPr>
              <w:t>(</w:t>
            </w:r>
            <w:r w:rsidR="005A5D12">
              <w:rPr>
                <w:rFonts w:ascii="Times New Roman" w:eastAsia="標楷體" w:hAnsi="Times New Roman" w:cs="Times New Roman" w:hint="eastAsia"/>
              </w:rPr>
              <w:t>如</w:t>
            </w:r>
            <w:r w:rsidR="005A5D12">
              <w:rPr>
                <w:rFonts w:ascii="Times New Roman" w:eastAsia="標楷體" w:hAnsi="Times New Roman" w:cs="Times New Roman" w:hint="eastAsia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AB12E2">
              <w:rPr>
                <w:rFonts w:ascii="Times New Roman" w:eastAsia="標楷體" w:hAnsi="Times New Roman" w:cs="Times New Roman" w:hint="eastAsia"/>
              </w:rPr>
              <w:t>LMA</w:t>
            </w:r>
            <w:r>
              <w:rPr>
                <w:rFonts w:ascii="Times New Roman" w:eastAsia="標楷體" w:hAnsi="Times New Roman" w:cs="Times New Roman" w:hint="eastAsia"/>
              </w:rPr>
              <w:t>、</w:t>
            </w:r>
            <w:r w:rsidRPr="00AB12E2">
              <w:rPr>
                <w:rFonts w:ascii="Times New Roman" w:eastAsia="標楷體" w:hAnsi="Times New Roman" w:cs="Times New Roman" w:hint="eastAsia"/>
              </w:rPr>
              <w:t>LSTA</w:t>
            </w:r>
            <w:r>
              <w:rPr>
                <w:rFonts w:ascii="Times New Roman" w:eastAsia="標楷體" w:hAnsi="Times New Roman" w:cs="Times New Roman" w:hint="eastAsia"/>
              </w:rPr>
              <w:t>、</w:t>
            </w:r>
            <w:r w:rsidRPr="00AB12E2">
              <w:rPr>
                <w:rFonts w:ascii="Times New Roman" w:eastAsia="標楷體" w:hAnsi="Times New Roman" w:cs="Times New Roman" w:hint="eastAsia"/>
              </w:rPr>
              <w:t>APLMA</w:t>
            </w:r>
            <w:r w:rsidR="005A5D12">
              <w:rPr>
                <w:rFonts w:ascii="Times New Roman" w:eastAsia="標楷體" w:hAnsi="Times New Roman" w:cs="Times New Roman" w:hint="eastAsia"/>
              </w:rPr>
              <w:t>等</w:t>
            </w:r>
            <w:r w:rsidR="005A5D12">
              <w:rPr>
                <w:rFonts w:ascii="Times New Roman" w:eastAsia="標楷體" w:hAnsi="Times New Roman" w:cs="Times New Roman" w:hint="eastAsia"/>
              </w:rPr>
              <w:t>)</w:t>
            </w:r>
            <w:r w:rsidR="005A5D12" w:rsidRPr="009E30BB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3C290C" w:rsidRPr="0099399A" w14:paraId="2C4EA63C" w14:textId="77777777" w:rsidTr="00622397">
        <w:tc>
          <w:tcPr>
            <w:tcW w:w="5382" w:type="dxa"/>
          </w:tcPr>
          <w:p w14:paraId="3A76EF95" w14:textId="27EE6C8C" w:rsidR="003C290C" w:rsidRPr="0099399A" w:rsidRDefault="003C290C" w:rsidP="00622397">
            <w:pPr>
              <w:spacing w:beforeLines="25" w:before="90" w:afterLines="25" w:after="90" w:line="280" w:lineRule="exact"/>
              <w:ind w:leftChars="50" w:left="540" w:hangingChars="175" w:hanging="420"/>
              <w:jc w:val="both"/>
              <w:rPr>
                <w:rFonts w:ascii="Times New Roman" w:eastAsia="標楷體" w:hAnsi="Times New Roman" w:cs="Times New Roman"/>
              </w:rPr>
            </w:pPr>
            <w:r w:rsidRPr="00E20D9F">
              <w:rPr>
                <w:rFonts w:ascii="Times New Roman" w:eastAsia="標楷體" w:hAnsi="Times New Roman" w:cs="Times New Roman"/>
              </w:rPr>
              <w:t>二</w:t>
            </w:r>
            <w:r w:rsidR="008F53B3" w:rsidRPr="00E20D9F">
              <w:rPr>
                <w:rFonts w:ascii="標楷體" w:eastAsia="標楷體" w:hAnsi="標楷體" w:cs="Times New Roman" w:hint="eastAsia"/>
              </w:rPr>
              <w:t>、</w:t>
            </w:r>
            <w:r w:rsidRPr="00E20D9F">
              <w:rPr>
                <w:rFonts w:ascii="Times New Roman" w:eastAsia="標楷體" w:hAnsi="Times New Roman" w:cs="Times New Roman"/>
                <w:b/>
                <w:bCs/>
              </w:rPr>
              <w:t>投資業務</w:t>
            </w:r>
            <w:r w:rsidR="003E182D" w:rsidRPr="00E20D9F">
              <w:rPr>
                <w:rFonts w:ascii="Times New Roman" w:eastAsia="標楷體" w:hAnsi="Times New Roman" w:cs="Times New Roman" w:hint="eastAsia"/>
                <w:b/>
                <w:bCs/>
              </w:rPr>
              <w:t>:</w:t>
            </w:r>
            <w:r w:rsidR="003E182D" w:rsidRPr="0099399A">
              <w:rPr>
                <w:rFonts w:ascii="Times New Roman" w:eastAsia="標楷體" w:hAnsi="Times New Roman" w:cs="Times New Roman"/>
                <w:szCs w:val="24"/>
              </w:rPr>
              <w:t>對於涉</w:t>
            </w:r>
            <w:r w:rsidR="002801B1">
              <w:rPr>
                <w:rFonts w:ascii="Times New Roman" w:eastAsia="標楷體" w:hAnsi="Times New Roman" w:cs="Times New Roman" w:hint="eastAsia"/>
                <w:szCs w:val="24"/>
              </w:rPr>
              <w:t>及</w:t>
            </w:r>
            <w:r w:rsidR="00123E45">
              <w:rPr>
                <w:rFonts w:ascii="Times New Roman" w:eastAsia="標楷體" w:hAnsi="Times New Roman" w:cs="Times New Roman"/>
                <w:szCs w:val="24"/>
              </w:rPr>
              <w:t>永續相關風險</w:t>
            </w:r>
            <w:r w:rsidR="003E182D" w:rsidRPr="0099399A">
              <w:rPr>
                <w:rFonts w:ascii="Times New Roman" w:eastAsia="標楷體" w:hAnsi="Times New Roman" w:cs="Times New Roman"/>
                <w:szCs w:val="24"/>
              </w:rPr>
              <w:t>較高案件是否訂定投資限額</w:t>
            </w:r>
            <w:r w:rsidR="007E2642">
              <w:rPr>
                <w:rFonts w:ascii="Times New Roman" w:eastAsia="標楷體" w:hAnsi="Times New Roman" w:cs="Times New Roman" w:hint="eastAsia"/>
                <w:szCs w:val="24"/>
              </w:rPr>
              <w:t>，並於投資前進行評估</w:t>
            </w:r>
            <w:r w:rsidR="003E182D" w:rsidRPr="0099399A">
              <w:rPr>
                <w:rFonts w:ascii="Times New Roman" w:eastAsia="標楷體" w:hAnsi="Times New Roman" w:cs="Times New Roman"/>
                <w:szCs w:val="24"/>
              </w:rPr>
              <w:t>？</w:t>
            </w:r>
          </w:p>
        </w:tc>
        <w:tc>
          <w:tcPr>
            <w:tcW w:w="850" w:type="dxa"/>
            <w:shd w:val="clear" w:color="auto" w:fill="FFFFFF" w:themeFill="background1"/>
          </w:tcPr>
          <w:p w14:paraId="7FD1F760" w14:textId="77777777" w:rsidR="003C290C" w:rsidRPr="0099399A" w:rsidRDefault="003C290C" w:rsidP="00622397">
            <w:pPr>
              <w:spacing w:beforeLines="25" w:before="90" w:afterLines="25" w:after="90" w:line="280" w:lineRule="exact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14:paraId="350C0C52" w14:textId="77777777" w:rsidR="003C290C" w:rsidRPr="0099399A" w:rsidRDefault="003C290C" w:rsidP="00622397">
            <w:pPr>
              <w:spacing w:beforeLines="25" w:before="90" w:afterLines="25" w:after="90" w:line="280" w:lineRule="exact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14:paraId="4053F0FC" w14:textId="4CDEBA33" w:rsidR="00BA49BF" w:rsidRDefault="008C380C" w:rsidP="00622397">
            <w:pPr>
              <w:spacing w:beforeLines="20" w:before="72" w:afterLines="20" w:after="72" w:line="260" w:lineRule="exact"/>
              <w:ind w:left="192" w:hangingChars="80" w:hanging="19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</w:t>
            </w:r>
            <w:r w:rsidR="00BA49BF">
              <w:rPr>
                <w:rFonts w:ascii="Times New Roman" w:eastAsia="標楷體" w:hAnsi="Times New Roman" w:cs="Times New Roman" w:hint="eastAsia"/>
              </w:rPr>
              <w:t>.</w:t>
            </w:r>
            <w:r w:rsidR="00942444" w:rsidRPr="00551DA9">
              <w:rPr>
                <w:rFonts w:ascii="Times New Roman" w:eastAsia="標楷體" w:hAnsi="Times New Roman" w:cs="Times New Roman"/>
              </w:rPr>
              <w:t>本國銀行氣候風險財務揭露指引</w:t>
            </w:r>
          </w:p>
          <w:p w14:paraId="319E4E4A" w14:textId="57388899" w:rsidR="00BA49BF" w:rsidRDefault="008C380C" w:rsidP="00622397">
            <w:pPr>
              <w:spacing w:beforeLines="20" w:before="72" w:afterLines="20" w:after="72" w:line="260" w:lineRule="exact"/>
              <w:ind w:left="192" w:hangingChars="80" w:hanging="19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lastRenderedPageBreak/>
              <w:t>2</w:t>
            </w:r>
            <w:r w:rsidR="00BA49BF">
              <w:rPr>
                <w:rFonts w:ascii="Times New Roman" w:eastAsia="標楷體" w:hAnsi="Times New Roman" w:cs="Times New Roman" w:hint="eastAsia"/>
              </w:rPr>
              <w:t>.</w:t>
            </w:r>
            <w:r w:rsidRPr="00927B52">
              <w:rPr>
                <w:rFonts w:ascii="Times New Roman" w:eastAsia="標楷體" w:hAnsi="Times New Roman" w:cs="Times New Roman" w:hint="eastAsia"/>
              </w:rPr>
              <w:t>保險業氣候相關風險財務揭露指引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</w:p>
          <w:p w14:paraId="7C24E41B" w14:textId="56AD45E0" w:rsidR="00185D63" w:rsidRDefault="008C380C" w:rsidP="00622397">
            <w:pPr>
              <w:spacing w:beforeLines="20" w:before="72" w:afterLines="20" w:after="72" w:line="260" w:lineRule="exact"/>
              <w:ind w:left="192" w:hangingChars="80" w:hanging="19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</w:t>
            </w:r>
            <w:r w:rsidR="00BA49BF">
              <w:rPr>
                <w:rFonts w:ascii="Times New Roman" w:eastAsia="標楷體" w:hAnsi="Times New Roman" w:cs="Times New Roman" w:hint="eastAsia"/>
              </w:rPr>
              <w:t>.</w:t>
            </w:r>
            <w:r w:rsidR="00185D63">
              <w:rPr>
                <w:rFonts w:ascii="Times New Roman" w:eastAsia="標楷體" w:hAnsi="Times New Roman" w:cs="Times New Roman" w:hint="eastAsia"/>
              </w:rPr>
              <w:t>票</w:t>
            </w:r>
            <w:proofErr w:type="gramStart"/>
            <w:r w:rsidR="00185D63">
              <w:rPr>
                <w:rFonts w:ascii="Times New Roman" w:eastAsia="標楷體" w:hAnsi="Times New Roman" w:cs="Times New Roman" w:hint="eastAsia"/>
              </w:rPr>
              <w:t>券</w:t>
            </w:r>
            <w:proofErr w:type="gramEnd"/>
            <w:r w:rsidR="00185D63">
              <w:rPr>
                <w:rFonts w:ascii="Times New Roman" w:eastAsia="標楷體" w:hAnsi="Times New Roman" w:cs="Times New Roman" w:hint="eastAsia"/>
              </w:rPr>
              <w:t>金融</w:t>
            </w:r>
            <w:proofErr w:type="gramStart"/>
            <w:r w:rsidR="00185D63" w:rsidRPr="00185D63">
              <w:rPr>
                <w:rFonts w:ascii="Times New Roman" w:eastAsia="標楷體" w:hAnsi="Times New Roman" w:cs="Times New Roman" w:hint="eastAsia"/>
              </w:rPr>
              <w:t>公司</w:t>
            </w:r>
            <w:r w:rsidR="00185D63">
              <w:rPr>
                <w:rFonts w:ascii="Times New Roman" w:eastAsia="標楷體" w:hAnsi="Times New Roman" w:cs="Times New Roman" w:hint="eastAsia"/>
              </w:rPr>
              <w:t>公司</w:t>
            </w:r>
            <w:proofErr w:type="gramEnd"/>
            <w:r w:rsidR="00185D63" w:rsidRPr="00185D63">
              <w:rPr>
                <w:rFonts w:ascii="Times New Roman" w:eastAsia="標楷體" w:hAnsi="Times New Roman" w:cs="Times New Roman" w:hint="eastAsia"/>
              </w:rPr>
              <w:t>治理實務守則第</w:t>
            </w:r>
            <w:r w:rsidR="00185D63">
              <w:rPr>
                <w:rFonts w:ascii="Times New Roman" w:eastAsia="標楷體" w:hAnsi="Times New Roman" w:cs="Times New Roman" w:hint="eastAsia"/>
              </w:rPr>
              <w:t>6</w:t>
            </w:r>
            <w:r w:rsidR="00185D63">
              <w:rPr>
                <w:rFonts w:ascii="Times New Roman" w:eastAsia="標楷體" w:hAnsi="Times New Roman" w:cs="Times New Roman"/>
              </w:rPr>
              <w:t>4</w:t>
            </w:r>
            <w:r w:rsidR="00185D63" w:rsidRPr="00185D63">
              <w:rPr>
                <w:rFonts w:ascii="Times New Roman" w:eastAsia="標楷體" w:hAnsi="Times New Roman" w:cs="Times New Roman" w:hint="eastAsia"/>
              </w:rPr>
              <w:t>條</w:t>
            </w:r>
          </w:p>
          <w:p w14:paraId="2A4175BD" w14:textId="7F5ECE22" w:rsidR="003C290C" w:rsidRPr="00C050FA" w:rsidRDefault="00185D63" w:rsidP="00622397">
            <w:pPr>
              <w:spacing w:beforeLines="20" w:before="72" w:afterLines="20" w:after="72" w:line="260" w:lineRule="exact"/>
              <w:ind w:left="192" w:hangingChars="80" w:hanging="19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4.</w:t>
            </w:r>
            <w:r w:rsidR="008C380C" w:rsidRPr="00942444">
              <w:rPr>
                <w:rFonts w:ascii="Times New Roman" w:eastAsia="標楷體" w:hAnsi="Times New Roman" w:cs="Times New Roman"/>
              </w:rPr>
              <w:t>證券商公司治理實務守則</w:t>
            </w:r>
            <w:r w:rsidR="008C380C">
              <w:rPr>
                <w:rFonts w:ascii="Times New Roman" w:eastAsia="標楷體" w:hAnsi="Times New Roman" w:cs="Times New Roman" w:hint="eastAsia"/>
              </w:rPr>
              <w:t>第</w:t>
            </w:r>
            <w:r w:rsidR="008C380C">
              <w:rPr>
                <w:rFonts w:ascii="Times New Roman" w:eastAsia="標楷體" w:hAnsi="Times New Roman" w:cs="Times New Roman" w:hint="eastAsia"/>
              </w:rPr>
              <w:t>57</w:t>
            </w:r>
            <w:r w:rsidR="008C380C">
              <w:rPr>
                <w:rFonts w:ascii="Times New Roman" w:eastAsia="標楷體" w:hAnsi="Times New Roman" w:cs="Times New Roman" w:hint="eastAsia"/>
              </w:rPr>
              <w:t>條第</w:t>
            </w:r>
            <w:r w:rsidR="008C380C">
              <w:rPr>
                <w:rFonts w:ascii="Times New Roman" w:eastAsia="標楷體" w:hAnsi="Times New Roman" w:cs="Times New Roman" w:hint="eastAsia"/>
              </w:rPr>
              <w:t>2</w:t>
            </w:r>
            <w:r w:rsidR="008C380C">
              <w:rPr>
                <w:rFonts w:ascii="Times New Roman" w:eastAsia="標楷體" w:hAnsi="Times New Roman" w:cs="Times New Roman" w:hint="eastAsia"/>
              </w:rPr>
              <w:t>項</w:t>
            </w:r>
          </w:p>
        </w:tc>
      </w:tr>
      <w:tr w:rsidR="003C290C" w:rsidRPr="0099399A" w14:paraId="360F2C54" w14:textId="77777777" w:rsidTr="00622397">
        <w:tc>
          <w:tcPr>
            <w:tcW w:w="5382" w:type="dxa"/>
          </w:tcPr>
          <w:p w14:paraId="33781D2B" w14:textId="771E8AEE" w:rsidR="002801B1" w:rsidRPr="00E20D9F" w:rsidRDefault="00416718" w:rsidP="00622397">
            <w:pPr>
              <w:spacing w:beforeLines="25" w:before="90" w:afterLines="25" w:after="90" w:line="280" w:lineRule="exact"/>
              <w:ind w:leftChars="50" w:left="540" w:hangingChars="175" w:hanging="420"/>
              <w:jc w:val="both"/>
              <w:rPr>
                <w:rFonts w:ascii="Times New Roman" w:eastAsia="標楷體" w:hAnsi="Times New Roman" w:cs="Times New Roman"/>
                <w:b/>
                <w:bCs/>
              </w:rPr>
            </w:pPr>
            <w:r w:rsidRPr="00E20D9F">
              <w:rPr>
                <w:rFonts w:ascii="Times New Roman" w:eastAsia="標楷體" w:hAnsi="Times New Roman" w:cs="Times New Roman"/>
              </w:rPr>
              <w:lastRenderedPageBreak/>
              <w:t>三</w:t>
            </w:r>
            <w:r w:rsidR="008F53B3" w:rsidRPr="00E20D9F">
              <w:rPr>
                <w:rFonts w:ascii="標楷體" w:eastAsia="標楷體" w:hAnsi="標楷體" w:cs="Times New Roman" w:hint="eastAsia"/>
              </w:rPr>
              <w:t>、</w:t>
            </w:r>
            <w:r w:rsidR="00B52A4F" w:rsidRPr="00E20D9F">
              <w:rPr>
                <w:rFonts w:ascii="Times New Roman" w:eastAsia="標楷體" w:hAnsi="Times New Roman" w:cs="Times New Roman" w:hint="eastAsia"/>
                <w:b/>
                <w:bCs/>
              </w:rPr>
              <w:t>永續相關金融商品</w:t>
            </w:r>
            <w:r w:rsidRPr="00E20D9F">
              <w:rPr>
                <w:rFonts w:ascii="Times New Roman" w:eastAsia="標楷體" w:hAnsi="Times New Roman" w:cs="Times New Roman" w:hint="eastAsia"/>
                <w:b/>
                <w:bCs/>
              </w:rPr>
              <w:t>:</w:t>
            </w:r>
          </w:p>
          <w:p w14:paraId="037F5627" w14:textId="48A4F858" w:rsidR="002801B1" w:rsidRDefault="00343872" w:rsidP="00343872">
            <w:pPr>
              <w:pStyle w:val="a4"/>
              <w:spacing w:beforeLines="25" w:before="90" w:afterLines="25" w:after="90" w:line="280" w:lineRule="exact"/>
              <w:ind w:leftChars="150" w:left="792" w:hangingChars="180" w:hanging="432"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(</w:t>
            </w:r>
            <w:proofErr w:type="gramStart"/>
            <w:r>
              <w:rPr>
                <w:rFonts w:ascii="Times New Roman" w:eastAsia="標楷體" w:hAnsi="Times New Roman" w:hint="eastAsia"/>
              </w:rPr>
              <w:t>一</w:t>
            </w:r>
            <w:proofErr w:type="gramEnd"/>
            <w:r>
              <w:rPr>
                <w:rFonts w:ascii="Times New Roman" w:eastAsia="標楷體" w:hAnsi="Times New Roman" w:hint="eastAsia"/>
              </w:rPr>
              <w:t>)</w:t>
            </w:r>
            <w:r w:rsidR="002D10DB" w:rsidRPr="0099399A">
              <w:rPr>
                <w:rFonts w:ascii="Times New Roman" w:eastAsia="標楷體" w:hAnsi="Times New Roman"/>
              </w:rPr>
              <w:t>是否設置商品審查小組，對</w:t>
            </w:r>
            <w:r w:rsidR="00DE067F" w:rsidRPr="0099399A">
              <w:rPr>
                <w:rFonts w:ascii="Times New Roman" w:eastAsia="標楷體" w:hAnsi="Times New Roman"/>
              </w:rPr>
              <w:t>永續</w:t>
            </w:r>
            <w:r w:rsidR="002D10DB" w:rsidRPr="0099399A">
              <w:rPr>
                <w:rFonts w:ascii="Times New Roman" w:eastAsia="標楷體" w:hAnsi="Times New Roman"/>
              </w:rPr>
              <w:t>金融商品進行</w:t>
            </w:r>
            <w:proofErr w:type="gramStart"/>
            <w:r w:rsidR="002D10DB" w:rsidRPr="0099399A">
              <w:rPr>
                <w:rFonts w:ascii="Times New Roman" w:eastAsia="標楷體" w:hAnsi="Times New Roman"/>
              </w:rPr>
              <w:t>上架前審查</w:t>
            </w:r>
            <w:proofErr w:type="gramEnd"/>
            <w:r w:rsidR="002D10DB" w:rsidRPr="0099399A">
              <w:rPr>
                <w:rFonts w:ascii="Times New Roman" w:eastAsia="標楷體" w:hAnsi="Times New Roman"/>
              </w:rPr>
              <w:t>?</w:t>
            </w:r>
            <w:r w:rsidR="00416718">
              <w:rPr>
                <w:rFonts w:ascii="Times New Roman" w:eastAsia="標楷體" w:hAnsi="Times New Roman" w:hint="eastAsia"/>
              </w:rPr>
              <w:t>並就</w:t>
            </w:r>
            <w:r w:rsidR="00416718" w:rsidRPr="0099399A">
              <w:rPr>
                <w:rFonts w:ascii="Times New Roman" w:eastAsia="標楷體" w:hAnsi="Times New Roman"/>
              </w:rPr>
              <w:t>行銷作業</w:t>
            </w:r>
            <w:r w:rsidR="00416718">
              <w:rPr>
                <w:rFonts w:ascii="Times New Roman" w:eastAsia="標楷體" w:hAnsi="Times New Roman" w:hint="eastAsia"/>
              </w:rPr>
              <w:t>之</w:t>
            </w:r>
            <w:r w:rsidR="00416718" w:rsidRPr="0099399A">
              <w:rPr>
                <w:rFonts w:ascii="Times New Roman" w:eastAsia="標楷體" w:hAnsi="Times New Roman"/>
              </w:rPr>
              <w:t>廣告訂定、業務招攬</w:t>
            </w:r>
            <w:r w:rsidR="00416718">
              <w:rPr>
                <w:rFonts w:ascii="Times New Roman" w:eastAsia="標楷體" w:hAnsi="Times New Roman" w:hint="eastAsia"/>
              </w:rPr>
              <w:t>、</w:t>
            </w:r>
            <w:r w:rsidR="00416718" w:rsidRPr="0099399A">
              <w:rPr>
                <w:rFonts w:ascii="Times New Roman" w:eastAsia="標楷體" w:hAnsi="Times New Roman"/>
              </w:rPr>
              <w:t>宣傳資料製作</w:t>
            </w:r>
            <w:proofErr w:type="gramStart"/>
            <w:r w:rsidR="001125BE">
              <w:rPr>
                <w:rFonts w:ascii="Times New Roman" w:eastAsia="標楷體" w:hAnsi="Times New Roman" w:hint="eastAsia"/>
              </w:rPr>
              <w:t>訂定妥適</w:t>
            </w:r>
            <w:proofErr w:type="gramEnd"/>
            <w:r w:rsidR="001125BE">
              <w:rPr>
                <w:rFonts w:ascii="Times New Roman" w:eastAsia="標楷體" w:hAnsi="Times New Roman" w:hint="eastAsia"/>
              </w:rPr>
              <w:t>管理規範與建置健全</w:t>
            </w:r>
            <w:r w:rsidR="001125BE" w:rsidRPr="0099399A">
              <w:rPr>
                <w:rFonts w:ascii="Times New Roman" w:eastAsia="標楷體" w:hAnsi="Times New Roman"/>
              </w:rPr>
              <w:t>控管作業程序</w:t>
            </w:r>
            <w:r w:rsidR="00A619C3">
              <w:rPr>
                <w:rFonts w:ascii="Times New Roman" w:eastAsia="標楷體" w:hAnsi="Times New Roman" w:hint="eastAsia"/>
              </w:rPr>
              <w:t>(</w:t>
            </w:r>
            <w:r w:rsidR="001125BE" w:rsidRPr="001125BE">
              <w:rPr>
                <w:rFonts w:ascii="Times New Roman" w:eastAsia="標楷體" w:hAnsi="Times New Roman" w:hint="eastAsia"/>
              </w:rPr>
              <w:t>如</w:t>
            </w:r>
            <w:r w:rsidR="001125BE" w:rsidRPr="001125BE">
              <w:rPr>
                <w:rFonts w:ascii="Times New Roman" w:eastAsia="標楷體" w:hAnsi="Times New Roman" w:hint="eastAsia"/>
              </w:rPr>
              <w:t>:</w:t>
            </w:r>
            <w:r w:rsidR="001125BE" w:rsidRPr="0099399A">
              <w:rPr>
                <w:rFonts w:ascii="Times New Roman" w:eastAsia="標楷體" w:hAnsi="Times New Roman"/>
              </w:rPr>
              <w:t>廣告或宣傳資料是否經法令遵循主管確認內容</w:t>
            </w:r>
            <w:r w:rsidR="00A619C3">
              <w:rPr>
                <w:rFonts w:ascii="Times New Roman" w:eastAsia="標楷體" w:hAnsi="Times New Roman" w:hint="eastAsia"/>
              </w:rPr>
              <w:t>) ?</w:t>
            </w:r>
          </w:p>
          <w:p w14:paraId="0ACF1AC3" w14:textId="4B7B2885" w:rsidR="003C290C" w:rsidRPr="0099399A" w:rsidRDefault="00343872" w:rsidP="00343872">
            <w:pPr>
              <w:pStyle w:val="a4"/>
              <w:spacing w:beforeLines="25" w:before="90" w:afterLines="25" w:after="90" w:line="280" w:lineRule="exact"/>
              <w:ind w:leftChars="150" w:left="792" w:hangingChars="180" w:hanging="432"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(</w:t>
            </w:r>
            <w:r>
              <w:rPr>
                <w:rFonts w:ascii="Times New Roman" w:eastAsia="標楷體" w:hAnsi="Times New Roman" w:hint="eastAsia"/>
              </w:rPr>
              <w:t>二</w:t>
            </w:r>
            <w:r>
              <w:rPr>
                <w:rFonts w:ascii="Times New Roman" w:eastAsia="標楷體" w:hAnsi="Times New Roman" w:hint="eastAsia"/>
              </w:rPr>
              <w:t>)</w:t>
            </w:r>
            <w:r w:rsidR="001125BE" w:rsidRPr="0099399A">
              <w:rPr>
                <w:rFonts w:ascii="Times New Roman" w:eastAsia="標楷體" w:hAnsi="Times New Roman"/>
              </w:rPr>
              <w:t>金融商品廣告文宣、公開說明書、風險預告書及客戶須知</w:t>
            </w:r>
            <w:r w:rsidR="00237449">
              <w:rPr>
                <w:rFonts w:ascii="Times New Roman" w:eastAsia="標楷體" w:hAnsi="Times New Roman" w:hint="eastAsia"/>
              </w:rPr>
              <w:t>等</w:t>
            </w:r>
            <w:r w:rsidR="001125BE" w:rsidRPr="0099399A">
              <w:rPr>
                <w:rFonts w:ascii="Times New Roman" w:eastAsia="標楷體" w:hAnsi="Times New Roman"/>
              </w:rPr>
              <w:t>之內容是否妥適</w:t>
            </w:r>
            <w:r w:rsidR="001125BE" w:rsidRPr="0099399A">
              <w:rPr>
                <w:rFonts w:ascii="Times New Roman" w:eastAsia="標楷體" w:hAnsi="Times New Roman"/>
              </w:rPr>
              <w:t>?</w:t>
            </w:r>
            <w:r w:rsidR="001125BE" w:rsidRPr="0099399A">
              <w:rPr>
                <w:rFonts w:ascii="Times New Roman" w:eastAsia="標楷體" w:hAnsi="Times New Roman"/>
              </w:rPr>
              <w:t>從事廣告、業務招攬及營業促銷活動之內容或作法是否符合規定</w:t>
            </w:r>
            <w:r w:rsidR="001125BE">
              <w:rPr>
                <w:rFonts w:ascii="Times New Roman" w:eastAsia="標楷體" w:hAnsi="Times New Roman" w:hint="eastAsia"/>
              </w:rPr>
              <w:t>等</w:t>
            </w:r>
            <w:r w:rsidR="001125BE">
              <w:rPr>
                <w:rFonts w:ascii="Times New Roman" w:eastAsia="標楷體" w:hAnsi="Times New Roman" w:hint="eastAsia"/>
              </w:rPr>
              <w:t>?</w:t>
            </w:r>
          </w:p>
        </w:tc>
        <w:tc>
          <w:tcPr>
            <w:tcW w:w="850" w:type="dxa"/>
            <w:shd w:val="clear" w:color="auto" w:fill="auto"/>
          </w:tcPr>
          <w:p w14:paraId="46427073" w14:textId="77777777" w:rsidR="003C290C" w:rsidRPr="0099399A" w:rsidRDefault="003C290C" w:rsidP="00622397">
            <w:pPr>
              <w:spacing w:beforeLines="25" w:before="90" w:afterLines="25" w:after="90" w:line="280" w:lineRule="exact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14:paraId="7DE0BBCC" w14:textId="77777777" w:rsidR="003C290C" w:rsidRPr="0099399A" w:rsidRDefault="003C290C" w:rsidP="00622397">
            <w:pPr>
              <w:spacing w:beforeLines="25" w:before="90" w:afterLines="25" w:after="90" w:line="280" w:lineRule="exact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14:paraId="32CCEA98" w14:textId="542295EF" w:rsidR="00416718" w:rsidRPr="00AC20FC" w:rsidRDefault="00A55C13" w:rsidP="00622397">
            <w:pPr>
              <w:spacing w:beforeLines="20" w:before="72" w:afterLines="20" w:after="72" w:line="260" w:lineRule="exact"/>
              <w:ind w:left="192" w:hangingChars="80" w:hanging="19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</w:t>
            </w:r>
            <w:r w:rsidR="00416718">
              <w:rPr>
                <w:rFonts w:ascii="Times New Roman" w:eastAsia="標楷體" w:hAnsi="Times New Roman" w:cs="Times New Roman" w:hint="eastAsia"/>
              </w:rPr>
              <w:t>.</w:t>
            </w:r>
            <w:r w:rsidR="00416718" w:rsidRPr="00B17D04">
              <w:rPr>
                <w:rFonts w:ascii="Times New Roman" w:eastAsia="標楷體" w:hAnsi="Times New Roman" w:cs="Times New Roman"/>
                <w:spacing w:val="-6"/>
              </w:rPr>
              <w:t>金</w:t>
            </w:r>
            <w:proofErr w:type="gramStart"/>
            <w:r w:rsidR="00416718" w:rsidRPr="00B17D04">
              <w:rPr>
                <w:rFonts w:ascii="Times New Roman" w:eastAsia="標楷體" w:hAnsi="Times New Roman" w:cs="Times New Roman"/>
                <w:spacing w:val="-6"/>
              </w:rPr>
              <w:t>管證投字</w:t>
            </w:r>
            <w:proofErr w:type="gramEnd"/>
            <w:r w:rsidR="00416718" w:rsidRPr="00B17D04">
              <w:rPr>
                <w:rFonts w:ascii="Times New Roman" w:eastAsia="標楷體" w:hAnsi="Times New Roman" w:cs="Times New Roman"/>
                <w:spacing w:val="-6"/>
              </w:rPr>
              <w:t>第</w:t>
            </w:r>
            <w:r w:rsidR="00416718" w:rsidRPr="00B17D04">
              <w:rPr>
                <w:rFonts w:ascii="Times New Roman" w:eastAsia="標楷體" w:hAnsi="Times New Roman" w:cs="Times New Roman"/>
                <w:spacing w:val="-6"/>
              </w:rPr>
              <w:t>1100362463</w:t>
            </w:r>
            <w:r w:rsidR="00416718" w:rsidRPr="00B17D04">
              <w:rPr>
                <w:rFonts w:ascii="Times New Roman" w:eastAsia="標楷體" w:hAnsi="Times New Roman" w:cs="Times New Roman"/>
                <w:spacing w:val="-6"/>
              </w:rPr>
              <w:t>號函</w:t>
            </w:r>
          </w:p>
          <w:p w14:paraId="31918103" w14:textId="496306BA" w:rsidR="003C290C" w:rsidRPr="00416718" w:rsidRDefault="00A55C13" w:rsidP="00622397">
            <w:pPr>
              <w:spacing w:beforeLines="20" w:before="72" w:afterLines="20" w:after="72" w:line="260" w:lineRule="exact"/>
              <w:ind w:left="192" w:hangingChars="80" w:hanging="19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</w:t>
            </w:r>
            <w:r w:rsidR="00416718" w:rsidRPr="00416718">
              <w:rPr>
                <w:rFonts w:ascii="Times New Roman" w:eastAsia="標楷體" w:hAnsi="Times New Roman" w:cs="Times New Roman"/>
              </w:rPr>
              <w:t>.</w:t>
            </w:r>
            <w:r w:rsidR="00416718">
              <w:rPr>
                <w:rFonts w:ascii="Times New Roman" w:eastAsia="標楷體" w:hAnsi="Times New Roman" w:cs="Times New Roman" w:hint="eastAsia"/>
              </w:rPr>
              <w:t>金管會</w:t>
            </w:r>
            <w:r w:rsidR="00416718" w:rsidRPr="002A455A">
              <w:rPr>
                <w:rFonts w:ascii="Times New Roman" w:eastAsia="標楷體" w:hAnsi="Times New Roman" w:cs="Times New Roman" w:hint="eastAsia"/>
              </w:rPr>
              <w:t>環境、社會與治理（</w:t>
            </w:r>
            <w:r w:rsidR="00416718" w:rsidRPr="002A455A">
              <w:rPr>
                <w:rFonts w:ascii="Times New Roman" w:eastAsia="標楷體" w:hAnsi="Times New Roman" w:cs="Times New Roman" w:hint="eastAsia"/>
              </w:rPr>
              <w:t>ESG</w:t>
            </w:r>
            <w:r w:rsidR="00416718" w:rsidRPr="002A455A">
              <w:rPr>
                <w:rFonts w:ascii="Times New Roman" w:eastAsia="標楷體" w:hAnsi="Times New Roman" w:cs="Times New Roman" w:hint="eastAsia"/>
              </w:rPr>
              <w:t>）相關主題之境外基金資訊揭露事項審查監理原則</w:t>
            </w:r>
          </w:p>
        </w:tc>
      </w:tr>
      <w:tr w:rsidR="003C290C" w:rsidRPr="0099399A" w14:paraId="540B3056" w14:textId="77777777" w:rsidTr="00622397">
        <w:tc>
          <w:tcPr>
            <w:tcW w:w="5382" w:type="dxa"/>
          </w:tcPr>
          <w:p w14:paraId="2EEB68C4" w14:textId="69C4B12A" w:rsidR="007C4F44" w:rsidRPr="0099399A" w:rsidRDefault="007C4F44" w:rsidP="00622397">
            <w:pPr>
              <w:spacing w:beforeLines="25" w:before="90" w:afterLines="25" w:after="90" w:line="280" w:lineRule="exact"/>
              <w:ind w:left="480" w:hangingChars="200" w:hanging="48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bCs/>
              </w:rPr>
              <w:t>肆</w:t>
            </w:r>
            <w:r w:rsidRPr="0099399A">
              <w:rPr>
                <w:rFonts w:ascii="Times New Roman" w:eastAsia="標楷體" w:hAnsi="Times New Roman" w:cs="Times New Roman"/>
                <w:b/>
                <w:bCs/>
              </w:rPr>
              <w:t>、永續資訊揭露</w:t>
            </w:r>
            <w:r>
              <w:rPr>
                <w:rFonts w:ascii="Times New Roman" w:eastAsia="標楷體" w:hAnsi="Times New Roman" w:cs="Times New Roman" w:hint="eastAsia"/>
                <w:b/>
                <w:bCs/>
              </w:rPr>
              <w:t>情形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181EF20F" w14:textId="77777777" w:rsidR="003C290C" w:rsidRPr="003D2254" w:rsidRDefault="003C290C" w:rsidP="00622397">
            <w:pPr>
              <w:spacing w:beforeLines="25" w:before="90" w:afterLines="25" w:after="90" w:line="280" w:lineRule="exact"/>
              <w:jc w:val="both"/>
              <w:rPr>
                <w:rFonts w:ascii="Times New Roman" w:eastAsia="標楷體" w:hAnsi="Times New Roman" w:cs="Times New Roman"/>
                <w:b/>
                <w:bCs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14:paraId="7638EE88" w14:textId="77777777" w:rsidR="003C290C" w:rsidRPr="003D2254" w:rsidRDefault="003C290C" w:rsidP="00622397">
            <w:pPr>
              <w:spacing w:beforeLines="25" w:before="90" w:afterLines="25" w:after="90" w:line="280" w:lineRule="exact"/>
              <w:jc w:val="both"/>
              <w:rPr>
                <w:rFonts w:ascii="Times New Roman" w:eastAsia="標楷體" w:hAnsi="Times New Roman" w:cs="Times New Roman"/>
                <w:b/>
                <w:bCs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</w:tcPr>
          <w:p w14:paraId="0123C362" w14:textId="1E0B8182" w:rsidR="00A5722C" w:rsidRPr="003D2254" w:rsidRDefault="00A5722C" w:rsidP="00622397">
            <w:pPr>
              <w:spacing w:beforeLines="20" w:before="72" w:afterLines="20" w:after="72" w:line="260" w:lineRule="exact"/>
              <w:ind w:left="300" w:hangingChars="125" w:hanging="300"/>
              <w:jc w:val="both"/>
              <w:rPr>
                <w:rFonts w:ascii="Times New Roman" w:eastAsia="標楷體" w:hAnsi="Times New Roman" w:cs="Times New Roman"/>
                <w:b/>
                <w:bCs/>
              </w:rPr>
            </w:pPr>
          </w:p>
        </w:tc>
      </w:tr>
      <w:tr w:rsidR="009A69D8" w:rsidRPr="0099399A" w14:paraId="5FA214B1" w14:textId="77777777" w:rsidTr="00622397">
        <w:tc>
          <w:tcPr>
            <w:tcW w:w="5382" w:type="dxa"/>
          </w:tcPr>
          <w:p w14:paraId="5342DD7F" w14:textId="1330B033" w:rsidR="009A69D8" w:rsidRDefault="009A69D8" w:rsidP="00622397">
            <w:pPr>
              <w:spacing w:beforeLines="25" w:before="90" w:afterLines="25" w:after="90" w:line="280" w:lineRule="exact"/>
              <w:ind w:leftChars="190" w:left="456" w:firstLine="1"/>
              <w:jc w:val="both"/>
              <w:rPr>
                <w:rFonts w:ascii="Times New Roman" w:eastAsia="標楷體" w:hAnsi="Times New Roman" w:cs="Times New Roman"/>
                <w:b/>
                <w:bCs/>
              </w:rPr>
            </w:pPr>
            <w:r w:rsidRPr="0099399A">
              <w:rPr>
                <w:rFonts w:ascii="Times New Roman" w:eastAsia="標楷體" w:hAnsi="Times New Roman" w:cs="Times New Roman"/>
              </w:rPr>
              <w:t>是否</w:t>
            </w:r>
            <w:r>
              <w:rPr>
                <w:rFonts w:ascii="Times New Roman" w:eastAsia="標楷體" w:hAnsi="Times New Roman" w:cs="Times New Roman" w:hint="eastAsia"/>
              </w:rPr>
              <w:t>依現行規範充分</w:t>
            </w:r>
            <w:r w:rsidRPr="0099399A">
              <w:rPr>
                <w:rFonts w:ascii="Times New Roman" w:eastAsia="標楷體" w:hAnsi="Times New Roman" w:cs="Times New Roman"/>
              </w:rPr>
              <w:t>揭露</w:t>
            </w:r>
            <w:r>
              <w:rPr>
                <w:rFonts w:ascii="Times New Roman" w:eastAsia="標楷體" w:hAnsi="Times New Roman" w:cs="Times New Roman" w:hint="eastAsia"/>
              </w:rPr>
              <w:t>推動永續發展之</w:t>
            </w:r>
            <w:r w:rsidRPr="0099399A">
              <w:rPr>
                <w:rFonts w:ascii="Times New Roman" w:eastAsia="標楷體" w:hAnsi="Times New Roman" w:cs="Times New Roman"/>
              </w:rPr>
              <w:t>資訊</w:t>
            </w:r>
            <w:r w:rsidRPr="0099399A">
              <w:rPr>
                <w:rFonts w:ascii="Times New Roman" w:eastAsia="標楷體" w:hAnsi="Times New Roman" w:cs="Times New Roman"/>
              </w:rPr>
              <w:t>?</w:t>
            </w:r>
            <w:r>
              <w:rPr>
                <w:rFonts w:ascii="Times New Roman" w:eastAsia="標楷體" w:hAnsi="Times New Roman" w:cs="Times New Roman" w:hint="eastAsia"/>
              </w:rPr>
              <w:t>永續</w:t>
            </w:r>
            <w:r w:rsidRPr="0099399A">
              <w:rPr>
                <w:rFonts w:ascii="Times New Roman" w:eastAsia="標楷體" w:hAnsi="Times New Roman" w:cs="Times New Roman"/>
              </w:rPr>
              <w:t>報告書</w:t>
            </w:r>
            <w:r>
              <w:rPr>
                <w:rFonts w:ascii="Times New Roman" w:eastAsia="標楷體" w:hAnsi="Times New Roman" w:cs="Times New Roman" w:hint="eastAsia"/>
              </w:rPr>
              <w:t>之編製有無</w:t>
            </w:r>
            <w:r w:rsidRPr="00CB5BE5">
              <w:rPr>
                <w:rFonts w:ascii="Times New Roman" w:eastAsia="標楷體" w:hAnsi="Times New Roman" w:cs="Times New Roman" w:hint="eastAsia"/>
              </w:rPr>
              <w:t>納入內部控制制度</w:t>
            </w:r>
            <w:r>
              <w:rPr>
                <w:rFonts w:ascii="Times New Roman" w:eastAsia="標楷體" w:hAnsi="Times New Roman" w:cs="Times New Roman" w:hint="eastAsia"/>
              </w:rPr>
              <w:t>?</w:t>
            </w:r>
            <w:r>
              <w:rPr>
                <w:rFonts w:ascii="Times New Roman" w:eastAsia="標楷體" w:hAnsi="Times New Roman" w:cs="Times New Roman" w:hint="eastAsia"/>
              </w:rPr>
              <w:t>內部如何提升永續資訊揭露之</w:t>
            </w:r>
            <w:r w:rsidR="002801B1">
              <w:rPr>
                <w:rFonts w:ascii="Times New Roman" w:eastAsia="標楷體" w:hAnsi="Times New Roman" w:cs="Times New Roman" w:hint="eastAsia"/>
              </w:rPr>
              <w:t>完整</w:t>
            </w:r>
            <w:r>
              <w:rPr>
                <w:rFonts w:ascii="Times New Roman" w:eastAsia="標楷體" w:hAnsi="Times New Roman" w:cs="Times New Roman" w:hint="eastAsia"/>
              </w:rPr>
              <w:t>性與</w:t>
            </w:r>
            <w:r w:rsidR="002801B1">
              <w:rPr>
                <w:rFonts w:ascii="Times New Roman" w:eastAsia="標楷體" w:hAnsi="Times New Roman" w:cs="Times New Roman" w:hint="eastAsia"/>
              </w:rPr>
              <w:t>正</w:t>
            </w:r>
            <w:r>
              <w:rPr>
                <w:rFonts w:ascii="Times New Roman" w:eastAsia="標楷體" w:hAnsi="Times New Roman" w:cs="Times New Roman" w:hint="eastAsia"/>
              </w:rPr>
              <w:t>確性</w:t>
            </w:r>
            <w:r>
              <w:rPr>
                <w:rFonts w:ascii="Times New Roman" w:eastAsia="標楷體" w:hAnsi="Times New Roman" w:cs="Times New Roman" w:hint="eastAsia"/>
              </w:rPr>
              <w:t>(</w:t>
            </w:r>
            <w:r>
              <w:rPr>
                <w:rFonts w:ascii="Times New Roman" w:eastAsia="標楷體" w:hAnsi="Times New Roman" w:cs="Times New Roman" w:hint="eastAsia"/>
              </w:rPr>
              <w:t>如</w:t>
            </w:r>
            <w:r>
              <w:rPr>
                <w:rFonts w:ascii="Times New Roman" w:eastAsia="標楷體" w:hAnsi="Times New Roman" w:cs="Times New Roman" w:hint="eastAsia"/>
              </w:rPr>
              <w:t>:</w:t>
            </w:r>
            <w:r w:rsidRPr="0099399A">
              <w:rPr>
                <w:rFonts w:ascii="Times New Roman" w:eastAsia="標楷體" w:hAnsi="Times New Roman" w:cs="Times New Roman"/>
                <w:kern w:val="0"/>
              </w:rPr>
              <w:t>是否訂定對外資訊揭露作業管理之政策及作業程序</w:t>
            </w:r>
            <w:r w:rsidRPr="0099399A">
              <w:rPr>
                <w:rFonts w:ascii="Times New Roman" w:eastAsia="標楷體" w:hAnsi="Times New Roman" w:cs="Times New Roman"/>
                <w:kern w:val="0"/>
              </w:rPr>
              <w:t>?</w:t>
            </w:r>
            <w:r>
              <w:rPr>
                <w:rFonts w:ascii="Times New Roman" w:eastAsia="標楷體" w:hAnsi="Times New Roman" w:cs="Times New Roman" w:hint="eastAsia"/>
                <w:kern w:val="0"/>
              </w:rPr>
              <w:t>有無</w:t>
            </w:r>
            <w:r w:rsidRPr="0099399A">
              <w:rPr>
                <w:rFonts w:ascii="Times New Roman" w:eastAsia="標楷體" w:hAnsi="Times New Roman" w:cs="Times New Roman"/>
              </w:rPr>
              <w:t>取得第三方確信</w:t>
            </w:r>
            <w:r>
              <w:rPr>
                <w:rFonts w:ascii="Times New Roman" w:eastAsia="標楷體" w:hAnsi="Times New Roman" w:cs="Times New Roman" w:hint="eastAsia"/>
              </w:rPr>
              <w:t>及驗證，以提高揭露資訊可靠性等</w:t>
            </w:r>
            <w:r>
              <w:rPr>
                <w:rFonts w:ascii="Times New Roman" w:eastAsia="標楷體" w:hAnsi="Times New Roman" w:cs="Times New Roman"/>
              </w:rPr>
              <w:t>)?</w:t>
            </w:r>
          </w:p>
        </w:tc>
        <w:tc>
          <w:tcPr>
            <w:tcW w:w="850" w:type="dxa"/>
            <w:shd w:val="clear" w:color="auto" w:fill="auto"/>
          </w:tcPr>
          <w:p w14:paraId="473825E1" w14:textId="77777777" w:rsidR="009A69D8" w:rsidRPr="0099399A" w:rsidRDefault="009A69D8" w:rsidP="00622397">
            <w:pPr>
              <w:spacing w:beforeLines="25" w:before="90" w:afterLines="25" w:after="90" w:line="280" w:lineRule="exact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14:paraId="50121349" w14:textId="77777777" w:rsidR="009A69D8" w:rsidRPr="0099399A" w:rsidRDefault="009A69D8" w:rsidP="00622397">
            <w:pPr>
              <w:spacing w:beforeLines="25" w:before="90" w:afterLines="25" w:after="90" w:line="280" w:lineRule="exact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14:paraId="7EC5D8BC" w14:textId="328B2CF4" w:rsidR="009A69D8" w:rsidRDefault="009A69D8" w:rsidP="00622397">
            <w:pPr>
              <w:spacing w:beforeLines="20" w:before="72" w:afterLines="20" w:after="72" w:line="260" w:lineRule="exact"/>
              <w:ind w:left="180" w:hangingChars="75" w:hanging="18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1.</w:t>
            </w:r>
            <w:r>
              <w:rPr>
                <w:rFonts w:ascii="Times New Roman" w:eastAsia="標楷體" w:hAnsi="Times New Roman" w:cs="Times New Roman"/>
              </w:rPr>
              <w:t>上市上櫃公司永續發展實務守則</w:t>
            </w:r>
            <w:r w:rsidR="001B734B" w:rsidRPr="0099399A">
              <w:rPr>
                <w:rFonts w:ascii="Times New Roman" w:eastAsia="標楷體" w:hAnsi="Times New Roman" w:cs="Times New Roman"/>
              </w:rPr>
              <w:t>第</w:t>
            </w:r>
            <w:r w:rsidR="001B734B" w:rsidRPr="0099399A">
              <w:rPr>
                <w:rFonts w:ascii="Times New Roman" w:eastAsia="標楷體" w:hAnsi="Times New Roman" w:cs="Times New Roman"/>
              </w:rPr>
              <w:t>7</w:t>
            </w:r>
            <w:r w:rsidR="001B734B" w:rsidRPr="0099399A">
              <w:rPr>
                <w:rFonts w:ascii="Times New Roman" w:eastAsia="標楷體" w:hAnsi="Times New Roman" w:cs="Times New Roman"/>
              </w:rPr>
              <w:t>條第</w:t>
            </w:r>
            <w:r w:rsidR="000977F5">
              <w:rPr>
                <w:rFonts w:ascii="Times New Roman" w:eastAsia="標楷體" w:hAnsi="Times New Roman" w:cs="Times New Roman" w:hint="eastAsia"/>
              </w:rPr>
              <w:t>2</w:t>
            </w:r>
            <w:r w:rsidR="001B734B" w:rsidRPr="0099399A">
              <w:rPr>
                <w:rFonts w:ascii="Times New Roman" w:eastAsia="標楷體" w:hAnsi="Times New Roman" w:cs="Times New Roman"/>
              </w:rPr>
              <w:t>項</w:t>
            </w:r>
            <w:r w:rsidR="003D674E" w:rsidRPr="0099399A">
              <w:rPr>
                <w:rFonts w:ascii="Times New Roman" w:eastAsia="標楷體" w:hAnsi="Times New Roman" w:cs="Times New Roman"/>
              </w:rPr>
              <w:t>第</w:t>
            </w:r>
            <w:r w:rsidR="003D674E">
              <w:rPr>
                <w:rFonts w:ascii="Times New Roman" w:eastAsia="標楷體" w:hAnsi="Times New Roman" w:cs="Times New Roman"/>
              </w:rPr>
              <w:t>3</w:t>
            </w:r>
            <w:r w:rsidR="003D674E">
              <w:rPr>
                <w:rFonts w:ascii="Times New Roman" w:eastAsia="標楷體" w:hAnsi="Times New Roman" w:cs="Times New Roman" w:hint="eastAsia"/>
              </w:rPr>
              <w:t>款</w:t>
            </w:r>
            <w:r w:rsidR="001B734B">
              <w:rPr>
                <w:rFonts w:ascii="Times New Roman" w:eastAsia="標楷體" w:hAnsi="Times New Roman" w:cs="Times New Roman" w:hint="eastAsia"/>
              </w:rPr>
              <w:t>、</w:t>
            </w:r>
            <w:r w:rsidRPr="0099399A">
              <w:rPr>
                <w:rFonts w:ascii="Times New Roman" w:eastAsia="標楷體" w:hAnsi="Times New Roman" w:cs="Times New Roman"/>
              </w:rPr>
              <w:t>第</w:t>
            </w:r>
            <w:r w:rsidRPr="0099399A">
              <w:rPr>
                <w:rFonts w:ascii="Times New Roman" w:eastAsia="標楷體" w:hAnsi="Times New Roman" w:cs="Times New Roman"/>
              </w:rPr>
              <w:t>28</w:t>
            </w:r>
            <w:r w:rsidRPr="0099399A">
              <w:rPr>
                <w:rFonts w:ascii="Times New Roman" w:eastAsia="標楷體" w:hAnsi="Times New Roman" w:cs="Times New Roman"/>
              </w:rPr>
              <w:t>條</w:t>
            </w:r>
            <w:r w:rsidR="000977F5">
              <w:rPr>
                <w:rFonts w:ascii="Times New Roman" w:eastAsia="標楷體" w:hAnsi="Times New Roman" w:cs="Times New Roman" w:hint="eastAsia"/>
              </w:rPr>
              <w:t>、第</w:t>
            </w:r>
            <w:r w:rsidR="000977F5">
              <w:rPr>
                <w:rFonts w:ascii="Times New Roman" w:eastAsia="標楷體" w:hAnsi="Times New Roman" w:cs="Times New Roman" w:hint="eastAsia"/>
              </w:rPr>
              <w:t>29</w:t>
            </w:r>
            <w:r w:rsidR="000977F5">
              <w:rPr>
                <w:rFonts w:ascii="Times New Roman" w:eastAsia="標楷體" w:hAnsi="Times New Roman" w:cs="Times New Roman" w:hint="eastAsia"/>
              </w:rPr>
              <w:t>條</w:t>
            </w:r>
          </w:p>
          <w:p w14:paraId="07189225" w14:textId="3AF411C7" w:rsidR="009A69D8" w:rsidRDefault="009A69D8" w:rsidP="00622397">
            <w:pPr>
              <w:spacing w:beforeLines="20" w:before="72" w:afterLines="20" w:after="72" w:line="260" w:lineRule="exact"/>
              <w:ind w:left="180" w:hangingChars="75" w:hanging="18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2.</w:t>
            </w:r>
            <w:r>
              <w:rPr>
                <w:rFonts w:ascii="Times New Roman" w:eastAsia="標楷體" w:hAnsi="Times New Roman" w:cs="Times New Roman"/>
              </w:rPr>
              <w:t>上市公司編製與申報永續報告書作業辦法</w:t>
            </w:r>
            <w:r w:rsidRPr="0099399A">
              <w:rPr>
                <w:rFonts w:ascii="Times New Roman" w:eastAsia="標楷體" w:hAnsi="Times New Roman" w:cs="Times New Roman"/>
              </w:rPr>
              <w:t>第</w:t>
            </w:r>
            <w:r>
              <w:rPr>
                <w:rFonts w:ascii="Times New Roman" w:eastAsia="標楷體" w:hAnsi="Times New Roman" w:cs="Times New Roman" w:hint="eastAsia"/>
              </w:rPr>
              <w:t>3</w:t>
            </w:r>
            <w:r w:rsidRPr="0099399A">
              <w:rPr>
                <w:rFonts w:ascii="Times New Roman" w:eastAsia="標楷體" w:hAnsi="Times New Roman" w:cs="Times New Roman"/>
              </w:rPr>
              <w:t>條</w:t>
            </w:r>
            <w:r>
              <w:rPr>
                <w:rFonts w:ascii="Times New Roman" w:eastAsia="標楷體" w:hAnsi="Times New Roman" w:cs="Times New Roman" w:hint="eastAsia"/>
              </w:rPr>
              <w:t>、</w:t>
            </w:r>
            <w:r w:rsidRPr="0099399A">
              <w:rPr>
                <w:rFonts w:ascii="Times New Roman" w:eastAsia="標楷體" w:hAnsi="Times New Roman" w:cs="Times New Roman"/>
              </w:rPr>
              <w:t>第</w:t>
            </w:r>
            <w:r w:rsidRPr="0099399A">
              <w:rPr>
                <w:rFonts w:ascii="Times New Roman" w:eastAsia="標楷體" w:hAnsi="Times New Roman" w:cs="Times New Roman"/>
              </w:rPr>
              <w:t>4</w:t>
            </w:r>
            <w:r w:rsidRPr="0099399A">
              <w:rPr>
                <w:rFonts w:ascii="Times New Roman" w:eastAsia="標楷體" w:hAnsi="Times New Roman" w:cs="Times New Roman"/>
              </w:rPr>
              <w:t>條</w:t>
            </w:r>
            <w:r>
              <w:rPr>
                <w:rFonts w:ascii="Times New Roman" w:eastAsia="標楷體" w:hAnsi="Times New Roman" w:cs="Times New Roman" w:hint="eastAsia"/>
              </w:rPr>
              <w:t>及</w:t>
            </w:r>
            <w:r w:rsidRPr="0099399A">
              <w:rPr>
                <w:rFonts w:ascii="Times New Roman" w:eastAsia="標楷體" w:hAnsi="Times New Roman" w:cs="Times New Roman"/>
              </w:rPr>
              <w:t>第</w:t>
            </w:r>
            <w:r w:rsidRPr="0099399A">
              <w:rPr>
                <w:rFonts w:ascii="Times New Roman" w:eastAsia="標楷體" w:hAnsi="Times New Roman" w:cs="Times New Roman"/>
              </w:rPr>
              <w:t>4</w:t>
            </w:r>
            <w:r w:rsidRPr="0099399A">
              <w:rPr>
                <w:rFonts w:ascii="Times New Roman" w:eastAsia="標楷體" w:hAnsi="Times New Roman" w:cs="Times New Roman"/>
              </w:rPr>
              <w:t>條</w:t>
            </w:r>
            <w:r>
              <w:rPr>
                <w:rFonts w:ascii="Times New Roman" w:eastAsia="標楷體" w:hAnsi="Times New Roman" w:cs="Times New Roman" w:hint="eastAsia"/>
              </w:rPr>
              <w:t>之</w:t>
            </w:r>
            <w:r w:rsidR="00741323">
              <w:rPr>
                <w:rFonts w:ascii="Times New Roman" w:eastAsia="標楷體" w:hAnsi="Times New Roman" w:cs="Times New Roman" w:hint="eastAsia"/>
              </w:rPr>
              <w:t>1</w:t>
            </w:r>
          </w:p>
          <w:p w14:paraId="54AB5401" w14:textId="17DFEDFD" w:rsidR="009A69D8" w:rsidRDefault="009A69D8" w:rsidP="00622397">
            <w:pPr>
              <w:spacing w:beforeLines="20" w:before="72" w:afterLines="20" w:after="72" w:line="260" w:lineRule="exact"/>
              <w:ind w:left="180" w:hangingChars="75" w:hanging="18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3.</w:t>
            </w:r>
            <w:r w:rsidRPr="00393E58">
              <w:rPr>
                <w:rFonts w:ascii="Times New Roman" w:eastAsia="標楷體" w:hAnsi="Times New Roman" w:cs="Times New Roman" w:hint="eastAsia"/>
              </w:rPr>
              <w:t>公開發行公司年報應行記載事項準則</w:t>
            </w:r>
            <w:r w:rsidRPr="0099399A">
              <w:rPr>
                <w:rFonts w:ascii="Times New Roman" w:eastAsia="標楷體" w:hAnsi="Times New Roman" w:cs="Times New Roman"/>
              </w:rPr>
              <w:t>第</w:t>
            </w:r>
            <w:r>
              <w:rPr>
                <w:rFonts w:ascii="Times New Roman" w:eastAsia="標楷體" w:hAnsi="Times New Roman" w:cs="Times New Roman" w:hint="eastAsia"/>
              </w:rPr>
              <w:t>10</w:t>
            </w:r>
            <w:r w:rsidRPr="0099399A">
              <w:rPr>
                <w:rFonts w:ascii="Times New Roman" w:eastAsia="標楷體" w:hAnsi="Times New Roman" w:cs="Times New Roman"/>
              </w:rPr>
              <w:t>條</w:t>
            </w:r>
            <w:r>
              <w:rPr>
                <w:rFonts w:ascii="Times New Roman" w:eastAsia="標楷體" w:hAnsi="Times New Roman" w:cs="Times New Roman" w:hint="eastAsia"/>
              </w:rPr>
              <w:t>、第</w:t>
            </w:r>
            <w:r>
              <w:rPr>
                <w:rFonts w:ascii="Times New Roman" w:eastAsia="標楷體" w:hAnsi="Times New Roman" w:cs="Times New Roman" w:hint="eastAsia"/>
              </w:rPr>
              <w:t>18</w:t>
            </w:r>
            <w:r>
              <w:rPr>
                <w:rFonts w:ascii="Times New Roman" w:eastAsia="標楷體" w:hAnsi="Times New Roman" w:cs="Times New Roman" w:hint="eastAsia"/>
              </w:rPr>
              <w:t>條</w:t>
            </w:r>
          </w:p>
          <w:p w14:paraId="4BC29DE7" w14:textId="77777777" w:rsidR="009A69D8" w:rsidRDefault="009A69D8" w:rsidP="00622397">
            <w:pPr>
              <w:spacing w:beforeLines="20" w:before="72" w:afterLines="20" w:after="72" w:line="260" w:lineRule="exact"/>
              <w:ind w:left="180" w:hangingChars="75" w:hanging="18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4.</w:t>
            </w:r>
            <w:r w:rsidRPr="00E46FA9">
              <w:rPr>
                <w:rFonts w:ascii="Times New Roman" w:eastAsia="標楷體" w:hAnsi="Times New Roman" w:cs="Times New Roman"/>
              </w:rPr>
              <w:t>金融控股公司年報應行記載事項準則</w:t>
            </w:r>
            <w:r w:rsidRPr="0099399A">
              <w:rPr>
                <w:rFonts w:ascii="Times New Roman" w:eastAsia="標楷體" w:hAnsi="Times New Roman" w:cs="Times New Roman"/>
              </w:rPr>
              <w:t>第</w:t>
            </w:r>
            <w:r>
              <w:rPr>
                <w:rFonts w:ascii="Times New Roman" w:eastAsia="標楷體" w:hAnsi="Times New Roman" w:cs="Times New Roman" w:hint="eastAsia"/>
              </w:rPr>
              <w:t>10</w:t>
            </w:r>
            <w:r w:rsidRPr="0099399A">
              <w:rPr>
                <w:rFonts w:ascii="Times New Roman" w:eastAsia="標楷體" w:hAnsi="Times New Roman" w:cs="Times New Roman"/>
              </w:rPr>
              <w:t>條</w:t>
            </w:r>
          </w:p>
          <w:p w14:paraId="04308435" w14:textId="1845E421" w:rsidR="009A69D8" w:rsidRDefault="009A69D8" w:rsidP="00622397">
            <w:pPr>
              <w:spacing w:beforeLines="20" w:before="72" w:afterLines="20" w:after="72" w:line="260" w:lineRule="exact"/>
              <w:ind w:left="180" w:hangingChars="75" w:hanging="18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5.</w:t>
            </w:r>
            <w:hyperlink r:id="rId8" w:history="1">
              <w:r w:rsidRPr="00411E6F">
                <w:rPr>
                  <w:rFonts w:ascii="Times New Roman" w:eastAsia="標楷體" w:hAnsi="Times New Roman" w:cs="Times New Roman" w:hint="eastAsia"/>
                </w:rPr>
                <w:t>銀行年報應行記載事項準則</w:t>
              </w:r>
            </w:hyperlink>
            <w:r w:rsidRPr="0099399A">
              <w:rPr>
                <w:rFonts w:ascii="Times New Roman" w:eastAsia="標楷體" w:hAnsi="Times New Roman" w:cs="Times New Roman"/>
              </w:rPr>
              <w:t>第</w:t>
            </w:r>
            <w:r>
              <w:rPr>
                <w:rFonts w:ascii="Times New Roman" w:eastAsia="標楷體" w:hAnsi="Times New Roman" w:cs="Times New Roman" w:hint="eastAsia"/>
              </w:rPr>
              <w:t>10</w:t>
            </w:r>
            <w:r w:rsidRPr="0099399A">
              <w:rPr>
                <w:rFonts w:ascii="Times New Roman" w:eastAsia="標楷體" w:hAnsi="Times New Roman" w:cs="Times New Roman"/>
              </w:rPr>
              <w:t>條</w:t>
            </w:r>
          </w:p>
          <w:p w14:paraId="4C4D8FDE" w14:textId="65FB0A17" w:rsidR="001B734B" w:rsidRPr="001B734B" w:rsidRDefault="000977F5" w:rsidP="00622397">
            <w:pPr>
              <w:spacing w:beforeLines="20" w:before="72" w:afterLines="20" w:after="72" w:line="260" w:lineRule="exact"/>
              <w:ind w:left="180" w:hangingChars="75" w:hanging="18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6.</w:t>
            </w:r>
            <w:r w:rsidR="001B734B">
              <w:rPr>
                <w:rFonts w:ascii="Times New Roman" w:eastAsia="標楷體" w:hAnsi="Times New Roman" w:cs="Times New Roman" w:hint="eastAsia"/>
              </w:rPr>
              <w:t>本國銀行氣候風險財務揭露指引</w:t>
            </w:r>
          </w:p>
          <w:p w14:paraId="544C9E33" w14:textId="7E073C1D" w:rsidR="009A69D8" w:rsidRDefault="000977F5" w:rsidP="00622397">
            <w:pPr>
              <w:spacing w:beforeLines="20" w:before="72" w:afterLines="20" w:after="72" w:line="260" w:lineRule="exact"/>
              <w:ind w:left="180" w:hangingChars="75" w:hanging="18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7</w:t>
            </w:r>
            <w:r w:rsidR="009A69D8">
              <w:rPr>
                <w:rFonts w:ascii="Times New Roman" w:eastAsia="標楷體" w:hAnsi="Times New Roman" w:cs="Times New Roman" w:hint="eastAsia"/>
              </w:rPr>
              <w:t>.</w:t>
            </w:r>
            <w:r w:rsidR="009A69D8" w:rsidRPr="00942444">
              <w:rPr>
                <w:rFonts w:ascii="Times New Roman" w:eastAsia="標楷體" w:hAnsi="Times New Roman" w:cs="Times New Roman"/>
              </w:rPr>
              <w:t>證券商公司治理實務守則</w:t>
            </w:r>
            <w:r w:rsidR="009A69D8">
              <w:rPr>
                <w:rFonts w:ascii="Times New Roman" w:eastAsia="標楷體" w:hAnsi="Times New Roman" w:cs="Times New Roman" w:hint="eastAsia"/>
              </w:rPr>
              <w:t>第</w:t>
            </w:r>
            <w:r w:rsidR="009A69D8">
              <w:rPr>
                <w:rFonts w:ascii="Times New Roman" w:eastAsia="標楷體" w:hAnsi="Times New Roman" w:cs="Times New Roman" w:hint="eastAsia"/>
              </w:rPr>
              <w:t>62</w:t>
            </w:r>
            <w:r w:rsidR="009A69D8">
              <w:rPr>
                <w:rFonts w:ascii="Times New Roman" w:eastAsia="標楷體" w:hAnsi="Times New Roman" w:cs="Times New Roman" w:hint="eastAsia"/>
              </w:rPr>
              <w:t>條</w:t>
            </w:r>
          </w:p>
          <w:p w14:paraId="769A2DBA" w14:textId="129DF014" w:rsidR="000977F5" w:rsidRPr="000977F5" w:rsidRDefault="000977F5" w:rsidP="00622397">
            <w:pPr>
              <w:spacing w:beforeLines="20" w:before="72" w:afterLines="20" w:after="72" w:line="260" w:lineRule="exact"/>
              <w:ind w:left="180" w:hangingChars="75" w:hanging="18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8.</w:t>
            </w:r>
            <w:r>
              <w:rPr>
                <w:rFonts w:ascii="Times New Roman" w:eastAsia="標楷體" w:hAnsi="Times New Roman" w:cs="Times New Roman" w:hint="eastAsia"/>
              </w:rPr>
              <w:t>證券商編製與申報</w:t>
            </w:r>
            <w:r w:rsidR="00FE36F9">
              <w:rPr>
                <w:rFonts w:ascii="Times New Roman" w:eastAsia="標楷體" w:hAnsi="Times New Roman" w:cs="Times New Roman" w:hint="eastAsia"/>
              </w:rPr>
              <w:t>永續報告書作業辦法第</w:t>
            </w:r>
            <w:r w:rsidR="00FE36F9">
              <w:rPr>
                <w:rFonts w:ascii="Times New Roman" w:eastAsia="標楷體" w:hAnsi="Times New Roman" w:cs="Times New Roman" w:hint="eastAsia"/>
              </w:rPr>
              <w:t>2</w:t>
            </w:r>
            <w:r w:rsidR="00FE36F9">
              <w:rPr>
                <w:rFonts w:ascii="Times New Roman" w:eastAsia="標楷體" w:hAnsi="Times New Roman" w:cs="Times New Roman" w:hint="eastAsia"/>
              </w:rPr>
              <w:t>條</w:t>
            </w:r>
          </w:p>
          <w:p w14:paraId="1A5DE62B" w14:textId="028E84DF" w:rsidR="009A69D8" w:rsidRDefault="00531B75" w:rsidP="00622397">
            <w:pPr>
              <w:spacing w:beforeLines="20" w:before="72" w:afterLines="20" w:after="72" w:line="260" w:lineRule="exact"/>
              <w:ind w:left="180" w:hangingChars="75" w:hanging="18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9</w:t>
            </w:r>
            <w:r w:rsidR="009A69D8">
              <w:rPr>
                <w:rFonts w:ascii="Times New Roman" w:eastAsia="標楷體" w:hAnsi="Times New Roman" w:cs="Times New Roman" w:hint="eastAsia"/>
              </w:rPr>
              <w:t>.</w:t>
            </w:r>
            <w:r w:rsidR="009A69D8" w:rsidRPr="00AD6DC6">
              <w:rPr>
                <w:rFonts w:ascii="Times New Roman" w:eastAsia="標楷體" w:hAnsi="Times New Roman" w:cs="Times New Roman"/>
              </w:rPr>
              <w:t>票</w:t>
            </w:r>
            <w:proofErr w:type="gramStart"/>
            <w:r w:rsidR="009A69D8" w:rsidRPr="00AD6DC6">
              <w:rPr>
                <w:rFonts w:ascii="Times New Roman" w:eastAsia="標楷體" w:hAnsi="Times New Roman" w:cs="Times New Roman"/>
              </w:rPr>
              <w:t>券</w:t>
            </w:r>
            <w:proofErr w:type="gramEnd"/>
            <w:r w:rsidR="009A69D8" w:rsidRPr="00AD6DC6">
              <w:rPr>
                <w:rFonts w:ascii="Times New Roman" w:eastAsia="標楷體" w:hAnsi="Times New Roman" w:cs="Times New Roman"/>
              </w:rPr>
              <w:t>金融公司年報應行記載事項準則</w:t>
            </w:r>
            <w:r w:rsidR="009A69D8" w:rsidRPr="0099399A">
              <w:rPr>
                <w:rFonts w:ascii="Times New Roman" w:eastAsia="標楷體" w:hAnsi="Times New Roman" w:cs="Times New Roman"/>
              </w:rPr>
              <w:t>第</w:t>
            </w:r>
            <w:r w:rsidR="009A69D8">
              <w:rPr>
                <w:rFonts w:ascii="Times New Roman" w:eastAsia="標楷體" w:hAnsi="Times New Roman" w:cs="Times New Roman" w:hint="eastAsia"/>
              </w:rPr>
              <w:t>10</w:t>
            </w:r>
            <w:r w:rsidR="009A69D8" w:rsidRPr="0099399A">
              <w:rPr>
                <w:rFonts w:ascii="Times New Roman" w:eastAsia="標楷體" w:hAnsi="Times New Roman" w:cs="Times New Roman"/>
              </w:rPr>
              <w:t>條</w:t>
            </w:r>
          </w:p>
          <w:p w14:paraId="1977ADC9" w14:textId="259E3DD6" w:rsidR="009A69D8" w:rsidRDefault="00531B75" w:rsidP="00622397">
            <w:pPr>
              <w:spacing w:beforeLines="20" w:before="72" w:afterLines="20" w:after="72" w:line="260" w:lineRule="exact"/>
              <w:ind w:left="300" w:hangingChars="125" w:hanging="30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10</w:t>
            </w:r>
            <w:r w:rsidR="009A69D8">
              <w:rPr>
                <w:rFonts w:ascii="Times New Roman" w:eastAsia="標楷體" w:hAnsi="Times New Roman" w:cs="Times New Roman" w:hint="eastAsia"/>
              </w:rPr>
              <w:t>.</w:t>
            </w:r>
            <w:hyperlink r:id="rId9" w:history="1">
              <w:r w:rsidR="009A69D8" w:rsidRPr="00565DB2">
                <w:rPr>
                  <w:rFonts w:ascii="Times New Roman" w:eastAsia="標楷體" w:hAnsi="Times New Roman" w:cs="Times New Roman"/>
                </w:rPr>
                <w:t>公司募集發行有價證券公開說明書應行記載事項準則</w:t>
              </w:r>
            </w:hyperlink>
            <w:r w:rsidR="009A69D8">
              <w:rPr>
                <w:rFonts w:ascii="Times New Roman" w:eastAsia="標楷體" w:hAnsi="Times New Roman" w:cs="Times New Roman" w:hint="eastAsia"/>
              </w:rPr>
              <w:t>第</w:t>
            </w:r>
            <w:r w:rsidR="009A69D8">
              <w:rPr>
                <w:rFonts w:ascii="Times New Roman" w:eastAsia="標楷體" w:hAnsi="Times New Roman" w:cs="Times New Roman" w:hint="eastAsia"/>
              </w:rPr>
              <w:t>32</w:t>
            </w:r>
            <w:r w:rsidR="009A69D8">
              <w:rPr>
                <w:rFonts w:ascii="Times New Roman" w:eastAsia="標楷體" w:hAnsi="Times New Roman" w:cs="Times New Roman" w:hint="eastAsia"/>
              </w:rPr>
              <w:t>條</w:t>
            </w:r>
          </w:p>
          <w:p w14:paraId="1F52B922" w14:textId="7D838D17" w:rsidR="009A69D8" w:rsidRDefault="00531B75" w:rsidP="00622397">
            <w:pPr>
              <w:spacing w:beforeLines="20" w:before="72" w:afterLines="20" w:after="72" w:line="260" w:lineRule="exact"/>
              <w:ind w:left="300" w:hangingChars="125" w:hanging="30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11</w:t>
            </w:r>
            <w:r w:rsidR="009A69D8">
              <w:rPr>
                <w:rFonts w:ascii="Times New Roman" w:eastAsia="標楷體" w:hAnsi="Times New Roman" w:cs="Times New Roman" w:hint="eastAsia"/>
              </w:rPr>
              <w:t>.</w:t>
            </w:r>
            <w:r w:rsidR="009A69D8" w:rsidRPr="00662035">
              <w:rPr>
                <w:rFonts w:ascii="Times New Roman" w:eastAsia="標楷體" w:hAnsi="Times New Roman" w:cs="Times New Roman"/>
              </w:rPr>
              <w:t>證券櫃檯買賣中心對有價證券上櫃公司資訊申報作業辦法</w:t>
            </w:r>
            <w:r w:rsidR="009A69D8">
              <w:rPr>
                <w:rFonts w:ascii="Times New Roman" w:eastAsia="標楷體" w:hAnsi="Times New Roman" w:cs="Times New Roman" w:hint="eastAsia"/>
              </w:rPr>
              <w:t>第</w:t>
            </w:r>
            <w:r w:rsidR="009A69D8">
              <w:rPr>
                <w:rFonts w:ascii="Times New Roman" w:eastAsia="標楷體" w:hAnsi="Times New Roman" w:cs="Times New Roman" w:hint="eastAsia"/>
              </w:rPr>
              <w:t>3</w:t>
            </w:r>
            <w:r w:rsidR="009A69D8">
              <w:rPr>
                <w:rFonts w:ascii="Times New Roman" w:eastAsia="標楷體" w:hAnsi="Times New Roman" w:cs="Times New Roman" w:hint="eastAsia"/>
              </w:rPr>
              <w:t>條</w:t>
            </w:r>
          </w:p>
          <w:p w14:paraId="43952145" w14:textId="3E95A844" w:rsidR="009A69D8" w:rsidRDefault="009A69D8" w:rsidP="00622397">
            <w:pPr>
              <w:spacing w:beforeLines="20" w:before="72" w:afterLines="20" w:after="72" w:line="260" w:lineRule="exact"/>
              <w:ind w:left="300" w:hangingChars="125" w:hanging="30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</w:t>
            </w:r>
            <w:r w:rsidR="00531B75">
              <w:rPr>
                <w:rFonts w:ascii="Times New Roman" w:eastAsia="標楷體" w:hAnsi="Times New Roman" w:cs="Times New Roman"/>
              </w:rPr>
              <w:t>2</w:t>
            </w:r>
            <w:r>
              <w:rPr>
                <w:rFonts w:ascii="Times New Roman" w:eastAsia="標楷體" w:hAnsi="Times New Roman" w:cs="Times New Roman" w:hint="eastAsia"/>
              </w:rPr>
              <w:t>.</w:t>
            </w:r>
            <w:r w:rsidRPr="00662035">
              <w:rPr>
                <w:rFonts w:ascii="Times New Roman" w:eastAsia="標楷體" w:hAnsi="Times New Roman" w:cs="Times New Roman"/>
              </w:rPr>
              <w:t>上櫃公司編製與申報永</w:t>
            </w:r>
            <w:r w:rsidRPr="00662035">
              <w:rPr>
                <w:rFonts w:ascii="Times New Roman" w:eastAsia="標楷體" w:hAnsi="Times New Roman" w:cs="Times New Roman"/>
              </w:rPr>
              <w:lastRenderedPageBreak/>
              <w:t>續報告書作業辦法</w:t>
            </w:r>
            <w:r>
              <w:rPr>
                <w:rFonts w:ascii="Times New Roman" w:eastAsia="標楷體" w:hAnsi="Times New Roman" w:cs="Times New Roman" w:hint="eastAsia"/>
              </w:rPr>
              <w:t>第</w:t>
            </w:r>
            <w:r>
              <w:rPr>
                <w:rFonts w:ascii="Times New Roman" w:eastAsia="標楷體" w:hAnsi="Times New Roman" w:cs="Times New Roman" w:hint="eastAsia"/>
              </w:rPr>
              <w:t>3</w:t>
            </w:r>
            <w:r>
              <w:rPr>
                <w:rFonts w:ascii="Times New Roman" w:eastAsia="標楷體" w:hAnsi="Times New Roman" w:cs="Times New Roman" w:hint="eastAsia"/>
              </w:rPr>
              <w:t>條、第</w:t>
            </w:r>
            <w:r>
              <w:rPr>
                <w:rFonts w:ascii="Times New Roman" w:eastAsia="標楷體" w:hAnsi="Times New Roman" w:cs="Times New Roman" w:hint="eastAsia"/>
              </w:rPr>
              <w:t>4</w:t>
            </w:r>
            <w:r>
              <w:rPr>
                <w:rFonts w:ascii="Times New Roman" w:eastAsia="標楷體" w:hAnsi="Times New Roman" w:cs="Times New Roman" w:hint="eastAsia"/>
              </w:rPr>
              <w:t>條及第</w:t>
            </w:r>
            <w:r>
              <w:rPr>
                <w:rFonts w:ascii="Times New Roman" w:eastAsia="標楷體" w:hAnsi="Times New Roman" w:cs="Times New Roman" w:hint="eastAsia"/>
              </w:rPr>
              <w:t>4</w:t>
            </w:r>
            <w:r>
              <w:rPr>
                <w:rFonts w:ascii="Times New Roman" w:eastAsia="標楷體" w:hAnsi="Times New Roman" w:cs="Times New Roman" w:hint="eastAsia"/>
              </w:rPr>
              <w:t>條之</w:t>
            </w:r>
            <w:r w:rsidR="00741323">
              <w:rPr>
                <w:rFonts w:ascii="Times New Roman" w:eastAsia="標楷體" w:hAnsi="Times New Roman" w:cs="Times New Roman" w:hint="eastAsia"/>
              </w:rPr>
              <w:t>1</w:t>
            </w:r>
          </w:p>
          <w:p w14:paraId="607ABC99" w14:textId="0E65171E" w:rsidR="009A69D8" w:rsidRDefault="009A69D8" w:rsidP="00622397">
            <w:pPr>
              <w:spacing w:beforeLines="20" w:before="72" w:afterLines="20" w:after="72" w:line="260" w:lineRule="exact"/>
              <w:ind w:left="300" w:hangingChars="125" w:hanging="30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</w:t>
            </w:r>
            <w:r w:rsidR="00531B75">
              <w:rPr>
                <w:rFonts w:ascii="Times New Roman" w:eastAsia="標楷體" w:hAnsi="Times New Roman" w:cs="Times New Roman"/>
              </w:rPr>
              <w:t>3</w:t>
            </w:r>
            <w:r>
              <w:rPr>
                <w:rFonts w:ascii="Times New Roman" w:eastAsia="標楷體" w:hAnsi="Times New Roman" w:cs="Times New Roman" w:hint="eastAsia"/>
              </w:rPr>
              <w:t>.</w:t>
            </w:r>
            <w:r w:rsidRPr="00803641">
              <w:rPr>
                <w:rFonts w:ascii="Times New Roman" w:eastAsia="標楷體" w:hAnsi="Times New Roman" w:cs="Times New Roman"/>
              </w:rPr>
              <w:t>保險業公司治理實務守則</w:t>
            </w:r>
            <w:r>
              <w:rPr>
                <w:rFonts w:ascii="Times New Roman" w:eastAsia="標楷體" w:hAnsi="Times New Roman" w:cs="Times New Roman" w:hint="eastAsia"/>
              </w:rPr>
              <w:t>第</w:t>
            </w:r>
            <w:r>
              <w:rPr>
                <w:rFonts w:ascii="Times New Roman" w:eastAsia="標楷體" w:hAnsi="Times New Roman" w:cs="Times New Roman" w:hint="eastAsia"/>
              </w:rPr>
              <w:t>64</w:t>
            </w:r>
            <w:r>
              <w:rPr>
                <w:rFonts w:ascii="Times New Roman" w:eastAsia="標楷體" w:hAnsi="Times New Roman" w:cs="Times New Roman" w:hint="eastAsia"/>
              </w:rPr>
              <w:t>條</w:t>
            </w:r>
          </w:p>
        </w:tc>
      </w:tr>
      <w:tr w:rsidR="003D2254" w:rsidRPr="0099399A" w14:paraId="707F5567" w14:textId="77777777" w:rsidTr="00622397">
        <w:tc>
          <w:tcPr>
            <w:tcW w:w="5382" w:type="dxa"/>
          </w:tcPr>
          <w:p w14:paraId="1185B223" w14:textId="39CD76E5" w:rsidR="003D2254" w:rsidRPr="0099399A" w:rsidRDefault="003D2254" w:rsidP="00622397">
            <w:pPr>
              <w:spacing w:beforeLines="25" w:before="90" w:afterLines="25" w:after="90" w:line="280" w:lineRule="exact"/>
              <w:ind w:left="480" w:hangingChars="200" w:hanging="48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  <w:b/>
                <w:bCs/>
              </w:rPr>
              <w:lastRenderedPageBreak/>
              <w:t>伍</w:t>
            </w:r>
            <w:r w:rsidRPr="0099399A">
              <w:rPr>
                <w:rFonts w:ascii="Times New Roman" w:eastAsia="標楷體" w:hAnsi="Times New Roman" w:cs="Times New Roman"/>
                <w:b/>
                <w:bCs/>
              </w:rPr>
              <w:t>、</w:t>
            </w:r>
            <w:r>
              <w:rPr>
                <w:rFonts w:ascii="Times New Roman" w:eastAsia="標楷體" w:hAnsi="Times New Roman" w:cs="Times New Roman" w:hint="eastAsia"/>
                <w:b/>
                <w:bCs/>
              </w:rPr>
              <w:t>人才培育情形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510F9812" w14:textId="77777777" w:rsidR="003D2254" w:rsidRPr="0099399A" w:rsidRDefault="003D2254" w:rsidP="00622397">
            <w:pPr>
              <w:spacing w:beforeLines="25" w:before="90" w:afterLines="25" w:after="90" w:line="280" w:lineRule="exact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14:paraId="5E49BC96" w14:textId="77777777" w:rsidR="003D2254" w:rsidRPr="0099399A" w:rsidRDefault="003D2254" w:rsidP="00622397">
            <w:pPr>
              <w:spacing w:beforeLines="25" w:before="90" w:afterLines="25" w:after="90" w:line="280" w:lineRule="exact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</w:tcPr>
          <w:p w14:paraId="4DD49C5C" w14:textId="77777777" w:rsidR="003D2254" w:rsidRDefault="003D2254" w:rsidP="00622397">
            <w:pPr>
              <w:spacing w:beforeLines="20" w:before="72" w:afterLines="20" w:after="72" w:line="260" w:lineRule="exact"/>
              <w:ind w:left="180" w:hangingChars="75" w:hanging="180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F4351B" w:rsidRPr="0099399A" w14:paraId="005B12C7" w14:textId="77777777" w:rsidTr="00622397">
        <w:tc>
          <w:tcPr>
            <w:tcW w:w="5382" w:type="dxa"/>
          </w:tcPr>
          <w:p w14:paraId="2EE9B52E" w14:textId="14A11082" w:rsidR="00F4351B" w:rsidRDefault="009B533F" w:rsidP="00622397">
            <w:pPr>
              <w:spacing w:beforeLines="25" w:before="90" w:afterLines="25" w:after="90" w:line="280" w:lineRule="exact"/>
              <w:ind w:leftChars="190" w:left="456" w:firstLine="1"/>
              <w:jc w:val="both"/>
              <w:rPr>
                <w:rFonts w:ascii="Times New Roman" w:eastAsia="標楷體" w:hAnsi="Times New Roman" w:cs="Times New Roman"/>
                <w:b/>
                <w:bCs/>
              </w:rPr>
            </w:pPr>
            <w:r>
              <w:rPr>
                <w:rFonts w:ascii="Times New Roman" w:eastAsia="標楷體" w:hAnsi="Times New Roman" w:cs="Times New Roman" w:hint="eastAsia"/>
              </w:rPr>
              <w:t>是否將內部人力資源相關計畫納入整體永續發展策略</w:t>
            </w:r>
            <w:r>
              <w:rPr>
                <w:rFonts w:ascii="Times New Roman" w:eastAsia="標楷體" w:hAnsi="Times New Roman" w:cs="Times New Roman" w:hint="eastAsia"/>
              </w:rPr>
              <w:t>?</w:t>
            </w:r>
            <w:r w:rsidR="00F4351B">
              <w:rPr>
                <w:rFonts w:ascii="Times New Roman" w:eastAsia="標楷體" w:hAnsi="Times New Roman" w:cs="Times New Roman" w:hint="eastAsia"/>
              </w:rPr>
              <w:t>董事、監察人及高階經理人每年有無依規定進修永續發展課程</w:t>
            </w:r>
            <w:r w:rsidR="00F4351B">
              <w:rPr>
                <w:rFonts w:ascii="Times New Roman" w:eastAsia="標楷體" w:hAnsi="Times New Roman" w:cs="Times New Roman" w:hint="eastAsia"/>
              </w:rPr>
              <w:t>?</w:t>
            </w:r>
            <w:r w:rsidR="00F4351B">
              <w:rPr>
                <w:rFonts w:ascii="Times New Roman" w:eastAsia="標楷體" w:hAnsi="Times New Roman" w:cs="Times New Roman" w:hint="eastAsia"/>
              </w:rPr>
              <w:t>內部是否</w:t>
            </w:r>
            <w:r w:rsidR="00F4351B" w:rsidRPr="00F4351B">
              <w:rPr>
                <w:rFonts w:ascii="Times New Roman" w:eastAsia="標楷體" w:hAnsi="Times New Roman" w:cs="Times New Roman" w:hint="eastAsia"/>
              </w:rPr>
              <w:t>定期舉辦永續發展</w:t>
            </w:r>
            <w:r>
              <w:rPr>
                <w:rFonts w:ascii="Times New Roman" w:eastAsia="標楷體" w:hAnsi="Times New Roman" w:cs="Times New Roman" w:hint="eastAsia"/>
              </w:rPr>
              <w:t>職</w:t>
            </w:r>
            <w:proofErr w:type="gramStart"/>
            <w:r>
              <w:rPr>
                <w:rFonts w:ascii="Times New Roman" w:eastAsia="標楷體" w:hAnsi="Times New Roman" w:cs="Times New Roman" w:hint="eastAsia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 w:hint="eastAsia"/>
              </w:rPr>
              <w:t>能力發展</w:t>
            </w:r>
            <w:r w:rsidR="00F4351B" w:rsidRPr="00F4351B">
              <w:rPr>
                <w:rFonts w:ascii="Times New Roman" w:eastAsia="標楷體" w:hAnsi="Times New Roman" w:cs="Times New Roman" w:hint="eastAsia"/>
              </w:rPr>
              <w:t>之教育訓練</w:t>
            </w:r>
            <w:r>
              <w:rPr>
                <w:rFonts w:ascii="Times New Roman" w:eastAsia="標楷體" w:hAnsi="Times New Roman" w:cs="Times New Roman" w:hint="eastAsia"/>
              </w:rPr>
              <w:t>或提供相關資源</w:t>
            </w:r>
            <w:r w:rsidR="00F4351B">
              <w:rPr>
                <w:rFonts w:ascii="Times New Roman" w:eastAsia="標楷體" w:hAnsi="Times New Roman" w:cs="Times New Roman" w:hint="eastAsia"/>
              </w:rPr>
              <w:t>，以提升員工</w:t>
            </w:r>
            <w:proofErr w:type="gramStart"/>
            <w:r w:rsidR="00F4351B">
              <w:rPr>
                <w:rFonts w:ascii="Times New Roman" w:eastAsia="標楷體" w:hAnsi="Times New Roman" w:cs="Times New Roman" w:hint="eastAsia"/>
              </w:rPr>
              <w:t>永續知能</w:t>
            </w:r>
            <w:proofErr w:type="gramEnd"/>
            <w:r w:rsidR="00F4351B">
              <w:rPr>
                <w:rFonts w:ascii="Times New Roman" w:eastAsia="標楷體" w:hAnsi="Times New Roman" w:cs="Times New Roman" w:hint="eastAsia"/>
              </w:rPr>
              <w:t>?</w:t>
            </w:r>
          </w:p>
        </w:tc>
        <w:tc>
          <w:tcPr>
            <w:tcW w:w="850" w:type="dxa"/>
            <w:shd w:val="clear" w:color="auto" w:fill="auto"/>
          </w:tcPr>
          <w:p w14:paraId="56D88013" w14:textId="77777777" w:rsidR="00F4351B" w:rsidRPr="0099399A" w:rsidRDefault="00F4351B" w:rsidP="00622397">
            <w:pPr>
              <w:spacing w:beforeLines="25" w:before="90" w:afterLines="25" w:after="90" w:line="280" w:lineRule="exact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14:paraId="4AB634FD" w14:textId="77777777" w:rsidR="00F4351B" w:rsidRPr="0099399A" w:rsidRDefault="00F4351B" w:rsidP="00622397">
            <w:pPr>
              <w:spacing w:beforeLines="25" w:before="90" w:afterLines="25" w:after="90" w:line="280" w:lineRule="exact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14:paraId="19180ED5" w14:textId="17F5D52F" w:rsidR="00F4351B" w:rsidRDefault="00F4351B" w:rsidP="00622397">
            <w:pPr>
              <w:spacing w:beforeLines="20" w:before="72" w:afterLines="20" w:after="72" w:line="260" w:lineRule="exact"/>
              <w:ind w:left="180" w:hangingChars="75" w:hanging="18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1.</w:t>
            </w:r>
            <w:hyperlink r:id="rId10" w:history="1">
              <w:r w:rsidRPr="00F4351B">
                <w:rPr>
                  <w:rFonts w:ascii="Times New Roman" w:eastAsia="標楷體" w:hAnsi="Times New Roman" w:cs="Times New Roman"/>
                </w:rPr>
                <w:t>上市上櫃公司永續發展實務守則</w:t>
              </w:r>
            </w:hyperlink>
            <w:r w:rsidR="001B734B">
              <w:rPr>
                <w:rFonts w:ascii="Times New Roman" w:eastAsia="標楷體" w:hAnsi="Times New Roman" w:cs="Times New Roman" w:hint="eastAsia"/>
              </w:rPr>
              <w:t>第</w:t>
            </w:r>
            <w:r w:rsidR="001B734B">
              <w:rPr>
                <w:rFonts w:ascii="Times New Roman" w:eastAsia="標楷體" w:hAnsi="Times New Roman" w:cs="Times New Roman" w:hint="eastAsia"/>
              </w:rPr>
              <w:t>14</w:t>
            </w:r>
            <w:r w:rsidR="001B734B">
              <w:rPr>
                <w:rFonts w:ascii="Times New Roman" w:eastAsia="標楷體" w:hAnsi="Times New Roman" w:cs="Times New Roman" w:hint="eastAsia"/>
              </w:rPr>
              <w:t>條</w:t>
            </w:r>
          </w:p>
          <w:p w14:paraId="33EB131B" w14:textId="4426CFD1" w:rsidR="007E7A22" w:rsidRPr="007E7A22" w:rsidRDefault="007E7A22" w:rsidP="00622397">
            <w:pPr>
              <w:spacing w:beforeLines="20" w:before="72" w:afterLines="20" w:after="72" w:line="260" w:lineRule="exact"/>
              <w:ind w:left="180" w:hangingChars="75" w:hanging="18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2.</w:t>
            </w:r>
            <w:r>
              <w:rPr>
                <w:rFonts w:ascii="Times New Roman" w:eastAsia="標楷體" w:hAnsi="Times New Roman" w:cs="Times New Roman" w:hint="eastAsia"/>
              </w:rPr>
              <w:t>金</w:t>
            </w:r>
            <w:r w:rsidR="00DA59F2">
              <w:rPr>
                <w:rFonts w:ascii="Times New Roman" w:eastAsia="標楷體" w:hAnsi="Times New Roman" w:cs="Times New Roman" w:hint="eastAsia"/>
              </w:rPr>
              <w:t>融</w:t>
            </w:r>
            <w:r>
              <w:rPr>
                <w:rFonts w:ascii="Times New Roman" w:eastAsia="標楷體" w:hAnsi="Times New Roman" w:cs="Times New Roman" w:hint="eastAsia"/>
              </w:rPr>
              <w:t>控</w:t>
            </w:r>
            <w:r w:rsidR="00DA59F2">
              <w:rPr>
                <w:rFonts w:ascii="Times New Roman" w:eastAsia="標楷體" w:hAnsi="Times New Roman" w:cs="Times New Roman" w:hint="eastAsia"/>
              </w:rPr>
              <w:t>股</w:t>
            </w:r>
            <w:r>
              <w:rPr>
                <w:rFonts w:ascii="Times New Roman" w:eastAsia="標楷體" w:hAnsi="Times New Roman" w:cs="Times New Roman" w:hint="eastAsia"/>
              </w:rPr>
              <w:t>公司治理實務守則第</w:t>
            </w:r>
            <w:r>
              <w:rPr>
                <w:rFonts w:ascii="Times New Roman" w:eastAsia="標楷體" w:hAnsi="Times New Roman" w:cs="Times New Roman" w:hint="eastAsia"/>
              </w:rPr>
              <w:t>49</w:t>
            </w:r>
            <w:r>
              <w:rPr>
                <w:rFonts w:ascii="Times New Roman" w:eastAsia="標楷體" w:hAnsi="Times New Roman" w:cs="Times New Roman" w:hint="eastAsia"/>
              </w:rPr>
              <w:t>條</w:t>
            </w:r>
          </w:p>
          <w:p w14:paraId="378D6568" w14:textId="40DCC546" w:rsidR="007E7A22" w:rsidRDefault="007E7A22" w:rsidP="00622397">
            <w:pPr>
              <w:spacing w:beforeLines="20" w:before="72" w:afterLines="20" w:after="72" w:line="260" w:lineRule="exact"/>
              <w:ind w:left="180" w:hangingChars="75" w:hanging="18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</w:t>
            </w:r>
            <w:r w:rsidR="00F4351B">
              <w:rPr>
                <w:rFonts w:ascii="Times New Roman" w:eastAsia="標楷體" w:hAnsi="Times New Roman" w:cs="Times New Roman" w:hint="eastAsia"/>
              </w:rPr>
              <w:t>.</w:t>
            </w:r>
            <w:hyperlink r:id="rId11" w:history="1">
              <w:r>
                <w:rPr>
                  <w:rFonts w:ascii="Times New Roman" w:eastAsia="標楷體" w:hAnsi="Times New Roman" w:cs="Times New Roman" w:hint="eastAsia"/>
                </w:rPr>
                <w:t>銀行</w:t>
              </w:r>
              <w:r w:rsidRPr="00F4351B">
                <w:rPr>
                  <w:rFonts w:ascii="Times New Roman" w:eastAsia="標楷體" w:hAnsi="Times New Roman" w:cs="Times New Roman" w:hint="eastAsia"/>
                </w:rPr>
                <w:t>業公司治理實務守則</w:t>
              </w:r>
            </w:hyperlink>
            <w:r>
              <w:rPr>
                <w:rFonts w:ascii="Times New Roman" w:eastAsia="標楷體" w:hAnsi="Times New Roman" w:cs="Times New Roman" w:hint="eastAsia"/>
              </w:rPr>
              <w:t>第</w:t>
            </w:r>
            <w:r>
              <w:rPr>
                <w:rFonts w:ascii="Times New Roman" w:eastAsia="標楷體" w:hAnsi="Times New Roman" w:cs="Times New Roman" w:hint="eastAsia"/>
              </w:rPr>
              <w:t>49</w:t>
            </w:r>
            <w:r>
              <w:rPr>
                <w:rFonts w:ascii="Times New Roman" w:eastAsia="標楷體" w:hAnsi="Times New Roman" w:cs="Times New Roman" w:hint="eastAsia"/>
              </w:rPr>
              <w:t>條、第</w:t>
            </w:r>
            <w:r>
              <w:rPr>
                <w:rFonts w:ascii="Times New Roman" w:eastAsia="標楷體" w:hAnsi="Times New Roman" w:cs="Times New Roman" w:hint="eastAsia"/>
              </w:rPr>
              <w:t>61</w:t>
            </w:r>
            <w:r>
              <w:rPr>
                <w:rFonts w:ascii="Times New Roman" w:eastAsia="標楷體" w:hAnsi="Times New Roman" w:cs="Times New Roman" w:hint="eastAsia"/>
              </w:rPr>
              <w:t>條</w:t>
            </w:r>
          </w:p>
          <w:p w14:paraId="0D1B04E2" w14:textId="3854A807" w:rsidR="00F4351B" w:rsidRDefault="007E7A22" w:rsidP="00622397">
            <w:pPr>
              <w:spacing w:beforeLines="20" w:before="72" w:afterLines="20" w:after="72" w:line="260" w:lineRule="exact"/>
              <w:ind w:left="180" w:hangingChars="75" w:hanging="18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4.</w:t>
            </w:r>
            <w:hyperlink r:id="rId12" w:history="1">
              <w:r w:rsidR="00F4351B" w:rsidRPr="00F4351B">
                <w:rPr>
                  <w:rFonts w:ascii="Times New Roman" w:eastAsia="標楷體" w:hAnsi="Times New Roman" w:cs="Times New Roman" w:hint="eastAsia"/>
                </w:rPr>
                <w:t>保險業公司治理實務守則</w:t>
              </w:r>
            </w:hyperlink>
            <w:r w:rsidR="00F4351B">
              <w:rPr>
                <w:rFonts w:ascii="Times New Roman" w:eastAsia="標楷體" w:hAnsi="Times New Roman" w:cs="Times New Roman" w:hint="eastAsia"/>
              </w:rPr>
              <w:t>第</w:t>
            </w:r>
            <w:r w:rsidR="00F4351B">
              <w:rPr>
                <w:rFonts w:ascii="Times New Roman" w:eastAsia="標楷體" w:hAnsi="Times New Roman" w:cs="Times New Roman" w:hint="eastAsia"/>
              </w:rPr>
              <w:t>24</w:t>
            </w:r>
            <w:r w:rsidR="00F4351B">
              <w:rPr>
                <w:rFonts w:ascii="Times New Roman" w:eastAsia="標楷體" w:hAnsi="Times New Roman" w:cs="Times New Roman" w:hint="eastAsia"/>
              </w:rPr>
              <w:t>條之</w:t>
            </w:r>
            <w:r w:rsidR="00741323">
              <w:rPr>
                <w:rFonts w:ascii="Times New Roman" w:eastAsia="標楷體" w:hAnsi="Times New Roman" w:cs="Times New Roman" w:hint="eastAsia"/>
              </w:rPr>
              <w:t>3</w:t>
            </w:r>
          </w:p>
          <w:p w14:paraId="0C362A81" w14:textId="0D466DE2" w:rsidR="007E7A22" w:rsidRDefault="007E7A22" w:rsidP="00622397">
            <w:pPr>
              <w:spacing w:beforeLines="20" w:before="72" w:afterLines="20" w:after="72" w:line="260" w:lineRule="exact"/>
              <w:ind w:left="180" w:hangingChars="75" w:hanging="18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5.</w:t>
            </w:r>
            <w:r w:rsidRPr="007E7A22">
              <w:rPr>
                <w:rFonts w:ascii="Times New Roman" w:eastAsia="標楷體" w:hAnsi="Times New Roman" w:cs="Times New Roman"/>
              </w:rPr>
              <w:t>票</w:t>
            </w:r>
            <w:proofErr w:type="gramStart"/>
            <w:r w:rsidRPr="007E7A22">
              <w:rPr>
                <w:rFonts w:ascii="Times New Roman" w:eastAsia="標楷體" w:hAnsi="Times New Roman" w:cs="Times New Roman"/>
              </w:rPr>
              <w:t>券</w:t>
            </w:r>
            <w:proofErr w:type="gramEnd"/>
            <w:r w:rsidRPr="007E7A22">
              <w:rPr>
                <w:rFonts w:ascii="Times New Roman" w:eastAsia="標楷體" w:hAnsi="Times New Roman" w:cs="Times New Roman"/>
              </w:rPr>
              <w:t>金融</w:t>
            </w:r>
            <w:proofErr w:type="gramStart"/>
            <w:r w:rsidRPr="007E7A22">
              <w:rPr>
                <w:rFonts w:ascii="Times New Roman" w:eastAsia="標楷體" w:hAnsi="Times New Roman" w:cs="Times New Roman"/>
              </w:rPr>
              <w:t>公司公司</w:t>
            </w:r>
            <w:proofErr w:type="gramEnd"/>
            <w:r w:rsidRPr="007E7A22">
              <w:rPr>
                <w:rFonts w:ascii="Times New Roman" w:eastAsia="標楷體" w:hAnsi="Times New Roman" w:cs="Times New Roman"/>
              </w:rPr>
              <w:t>治理實務守則</w:t>
            </w:r>
            <w:r>
              <w:rPr>
                <w:rFonts w:ascii="Times New Roman" w:eastAsia="標楷體" w:hAnsi="Times New Roman" w:cs="Times New Roman" w:hint="eastAsia"/>
              </w:rPr>
              <w:t>第</w:t>
            </w:r>
            <w:r>
              <w:rPr>
                <w:rFonts w:ascii="Times New Roman" w:eastAsia="標楷體" w:hAnsi="Times New Roman" w:cs="Times New Roman" w:hint="eastAsia"/>
              </w:rPr>
              <w:t>49</w:t>
            </w:r>
            <w:r>
              <w:rPr>
                <w:rFonts w:ascii="Times New Roman" w:eastAsia="標楷體" w:hAnsi="Times New Roman" w:cs="Times New Roman" w:hint="eastAsia"/>
              </w:rPr>
              <w:t>條</w:t>
            </w:r>
          </w:p>
          <w:p w14:paraId="39AB2CB0" w14:textId="00DB5887" w:rsidR="007E7A22" w:rsidRPr="007E7A22" w:rsidRDefault="007E7A22" w:rsidP="00622397">
            <w:pPr>
              <w:spacing w:beforeLines="20" w:before="72" w:afterLines="20" w:after="72" w:line="260" w:lineRule="exact"/>
              <w:ind w:left="180" w:hangingChars="75" w:hanging="18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6.</w:t>
            </w:r>
            <w:r w:rsidRPr="007E7A22">
              <w:rPr>
                <w:rFonts w:ascii="Times New Roman" w:eastAsia="標楷體" w:hAnsi="Times New Roman" w:cs="Times New Roman"/>
              </w:rPr>
              <w:t>證券商公司治理實務守則</w:t>
            </w:r>
            <w:r>
              <w:rPr>
                <w:rFonts w:ascii="Times New Roman" w:eastAsia="標楷體" w:hAnsi="Times New Roman" w:cs="Times New Roman" w:hint="eastAsia"/>
              </w:rPr>
              <w:t>第</w:t>
            </w:r>
            <w:r>
              <w:rPr>
                <w:rFonts w:ascii="Times New Roman" w:eastAsia="標楷體" w:hAnsi="Times New Roman" w:cs="Times New Roman" w:hint="eastAsia"/>
              </w:rPr>
              <w:t>40</w:t>
            </w:r>
            <w:r>
              <w:rPr>
                <w:rFonts w:ascii="Times New Roman" w:eastAsia="標楷體" w:hAnsi="Times New Roman" w:cs="Times New Roman" w:hint="eastAsia"/>
              </w:rPr>
              <w:t>條</w:t>
            </w:r>
          </w:p>
          <w:p w14:paraId="123C174E" w14:textId="77777777" w:rsidR="009B533F" w:rsidRDefault="007E7A22" w:rsidP="0074427F">
            <w:pPr>
              <w:spacing w:beforeLines="20" w:before="72" w:afterLines="20" w:after="72" w:line="260" w:lineRule="exact"/>
              <w:ind w:left="180" w:hangingChars="75" w:hanging="18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7.</w:t>
            </w:r>
            <w:r w:rsidR="00F4351B" w:rsidRPr="00F4351B">
              <w:rPr>
                <w:rFonts w:ascii="Times New Roman" w:eastAsia="標楷體" w:hAnsi="Times New Roman" w:cs="Times New Roman" w:hint="eastAsia"/>
              </w:rPr>
              <w:t>上市上櫃公司董事、監察人進修推行要點</w:t>
            </w:r>
            <w:r w:rsidR="00051D26">
              <w:rPr>
                <w:rFonts w:ascii="Times New Roman" w:eastAsia="標楷體" w:hAnsi="Times New Roman" w:cs="Times New Roman" w:hint="eastAsia"/>
              </w:rPr>
              <w:t>第三條附件</w:t>
            </w:r>
            <w:r w:rsidR="00051D26">
              <w:rPr>
                <w:rFonts w:ascii="Times New Roman" w:eastAsia="標楷體" w:hAnsi="Times New Roman" w:cs="Times New Roman" w:hint="eastAsia"/>
              </w:rPr>
              <w:t>-</w:t>
            </w:r>
            <w:r w:rsidR="00051D26" w:rsidRPr="00051D26">
              <w:rPr>
                <w:rFonts w:ascii="Times New Roman" w:eastAsia="標楷體" w:hAnsi="Times New Roman" w:cs="Times New Roman"/>
              </w:rPr>
              <w:t>董事進修地圖之課程規劃</w:t>
            </w:r>
            <w:r w:rsidR="00051D26">
              <w:rPr>
                <w:rFonts w:ascii="Times New Roman" w:eastAsia="標楷體" w:hAnsi="Times New Roman" w:cs="Times New Roman" w:hint="eastAsia"/>
              </w:rPr>
              <w:t>附表</w:t>
            </w:r>
            <w:r w:rsidR="00051D26">
              <w:rPr>
                <w:rFonts w:ascii="Times New Roman" w:eastAsia="標楷體" w:hAnsi="Times New Roman" w:cs="Times New Roman" w:hint="eastAsia"/>
              </w:rPr>
              <w:t>1</w:t>
            </w:r>
            <w:r w:rsidR="001B734B">
              <w:rPr>
                <w:rFonts w:ascii="Times New Roman" w:eastAsia="標楷體" w:hAnsi="Times New Roman" w:cs="Times New Roman" w:hint="eastAsia"/>
              </w:rPr>
              <w:t xml:space="preserve"> </w:t>
            </w:r>
          </w:p>
          <w:p w14:paraId="4B1BB0D1" w14:textId="32D9EA34" w:rsidR="003D674E" w:rsidRPr="009B533F" w:rsidRDefault="003D674E" w:rsidP="0074427F">
            <w:pPr>
              <w:spacing w:beforeLines="20" w:before="72" w:afterLines="20" w:after="72" w:line="260" w:lineRule="exact"/>
              <w:ind w:left="180" w:hangingChars="75" w:hanging="18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8</w:t>
            </w:r>
            <w:r>
              <w:rPr>
                <w:rFonts w:ascii="Times New Roman" w:eastAsia="標楷體" w:hAnsi="Times New Roman" w:cs="Times New Roman"/>
              </w:rPr>
              <w:t>.</w:t>
            </w:r>
            <w:r>
              <w:rPr>
                <w:rFonts w:ascii="Times New Roman" w:eastAsia="標楷體" w:hAnsi="Times New Roman" w:cs="Times New Roman" w:hint="eastAsia"/>
              </w:rPr>
              <w:t>中華民國銀行公會</w:t>
            </w:r>
            <w:r w:rsidR="00B310F2">
              <w:rPr>
                <w:rFonts w:ascii="Times New Roman" w:eastAsia="標楷體" w:hAnsi="Times New Roman" w:cs="Times New Roman" w:hint="eastAsia"/>
              </w:rPr>
              <w:t>會員</w:t>
            </w:r>
            <w:r>
              <w:rPr>
                <w:rFonts w:ascii="Times New Roman" w:eastAsia="標楷體" w:hAnsi="Times New Roman" w:cs="Times New Roman" w:hint="eastAsia"/>
              </w:rPr>
              <w:t>授信準則第</w:t>
            </w:r>
            <w:r>
              <w:rPr>
                <w:rFonts w:ascii="Times New Roman" w:eastAsia="標楷體" w:hAnsi="Times New Roman" w:cs="Times New Roman" w:hint="eastAsia"/>
              </w:rPr>
              <w:t>7</w:t>
            </w:r>
            <w:r>
              <w:rPr>
                <w:rFonts w:ascii="Times New Roman" w:eastAsia="標楷體" w:hAnsi="Times New Roman" w:cs="Times New Roman" w:hint="eastAsia"/>
              </w:rPr>
              <w:t>條</w:t>
            </w:r>
          </w:p>
        </w:tc>
      </w:tr>
    </w:tbl>
    <w:p w14:paraId="174B192F" w14:textId="4403AAC9" w:rsidR="000206FF" w:rsidRPr="007E7A22" w:rsidRDefault="000206FF" w:rsidP="008A0A85">
      <w:pPr>
        <w:spacing w:before="25" w:after="25" w:line="280" w:lineRule="exact"/>
        <w:rPr>
          <w:rFonts w:ascii="Times New Roman" w:eastAsia="標楷體" w:hAnsi="Times New Roman" w:cs="Times New Roman"/>
        </w:rPr>
      </w:pPr>
    </w:p>
    <w:sectPr w:rsidR="000206FF" w:rsidRPr="007E7A22" w:rsidSect="003931A9">
      <w:footerReference w:type="default" r:id="rId13"/>
      <w:pgSz w:w="11906" w:h="16838"/>
      <w:pgMar w:top="1134" w:right="567" w:bottom="1134" w:left="567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78970" w14:textId="77777777" w:rsidR="006E5909" w:rsidRDefault="006E5909" w:rsidP="009A6027">
      <w:r>
        <w:separator/>
      </w:r>
    </w:p>
  </w:endnote>
  <w:endnote w:type="continuationSeparator" w:id="0">
    <w:p w14:paraId="5AD67385" w14:textId="77777777" w:rsidR="006E5909" w:rsidRDefault="006E5909" w:rsidP="009A6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8CC09" w14:textId="0939796F" w:rsidR="003931A9" w:rsidRPr="003931A9" w:rsidRDefault="003931A9" w:rsidP="003931A9">
    <w:pPr>
      <w:pStyle w:val="ab"/>
      <w:jc w:val="center"/>
      <w:rPr>
        <w:rFonts w:ascii="Times New Roman" w:eastAsia="標楷體" w:hAnsi="Times New Roman" w:cs="Times New Roman"/>
      </w:rPr>
    </w:pPr>
    <w:r w:rsidRPr="003931A9">
      <w:rPr>
        <w:rFonts w:ascii="Times New Roman" w:eastAsia="標楷體" w:hAnsi="Times New Roman" w:cs="Times New Roman"/>
      </w:rPr>
      <w:t>-</w:t>
    </w:r>
    <w:r w:rsidRPr="003931A9">
      <w:rPr>
        <w:rFonts w:ascii="Times New Roman" w:eastAsia="標楷體" w:hAnsi="Times New Roman" w:cs="Times New Roman"/>
      </w:rPr>
      <w:t>第</w:t>
    </w:r>
    <w:sdt>
      <w:sdtPr>
        <w:rPr>
          <w:rFonts w:ascii="Times New Roman" w:eastAsia="標楷體" w:hAnsi="Times New Roman" w:cs="Times New Roman"/>
        </w:rPr>
        <w:id w:val="-870457774"/>
        <w:docPartObj>
          <w:docPartGallery w:val="Page Numbers (Bottom of Page)"/>
          <w:docPartUnique/>
        </w:docPartObj>
      </w:sdtPr>
      <w:sdtContent>
        <w:r w:rsidRPr="003931A9">
          <w:rPr>
            <w:rFonts w:ascii="Times New Roman" w:eastAsia="標楷體" w:hAnsi="Times New Roman" w:cs="Times New Roman"/>
          </w:rPr>
          <w:fldChar w:fldCharType="begin"/>
        </w:r>
        <w:r w:rsidRPr="003931A9">
          <w:rPr>
            <w:rFonts w:ascii="Times New Roman" w:eastAsia="標楷體" w:hAnsi="Times New Roman" w:cs="Times New Roman"/>
          </w:rPr>
          <w:instrText>PAGE   \* MERGEFORMAT</w:instrText>
        </w:r>
        <w:r w:rsidRPr="003931A9">
          <w:rPr>
            <w:rFonts w:ascii="Times New Roman" w:eastAsia="標楷體" w:hAnsi="Times New Roman" w:cs="Times New Roman"/>
          </w:rPr>
          <w:fldChar w:fldCharType="separate"/>
        </w:r>
        <w:r w:rsidRPr="003931A9">
          <w:rPr>
            <w:rFonts w:ascii="Times New Roman" w:eastAsia="標楷體" w:hAnsi="Times New Roman" w:cs="Times New Roman"/>
            <w:lang w:val="zh-TW"/>
          </w:rPr>
          <w:t>2</w:t>
        </w:r>
        <w:r w:rsidRPr="003931A9">
          <w:rPr>
            <w:rFonts w:ascii="Times New Roman" w:eastAsia="標楷體" w:hAnsi="Times New Roman" w:cs="Times New Roman"/>
          </w:rPr>
          <w:fldChar w:fldCharType="end"/>
        </w:r>
        <w:r w:rsidRPr="003931A9">
          <w:rPr>
            <w:rFonts w:ascii="Times New Roman" w:eastAsia="標楷體" w:hAnsi="Times New Roman" w:cs="Times New Roman"/>
          </w:rPr>
          <w:t>頁</w:t>
        </w:r>
        <w:r w:rsidRPr="003931A9">
          <w:rPr>
            <w:rFonts w:ascii="Times New Roman" w:eastAsia="標楷體" w:hAnsi="Times New Roman" w:cs="Times New Roman"/>
          </w:rPr>
          <w:t>/</w:t>
        </w:r>
        <w:r w:rsidRPr="003931A9">
          <w:rPr>
            <w:rFonts w:ascii="Times New Roman" w:eastAsia="標楷體" w:hAnsi="Times New Roman" w:cs="Times New Roman"/>
          </w:rPr>
          <w:t>共</w:t>
        </w:r>
        <w:r>
          <w:rPr>
            <w:rFonts w:ascii="Times New Roman" w:eastAsia="標楷體" w:hAnsi="Times New Roman" w:cs="Times New Roman"/>
          </w:rPr>
          <w:fldChar w:fldCharType="begin"/>
        </w:r>
        <w:r>
          <w:rPr>
            <w:rFonts w:ascii="Times New Roman" w:eastAsia="標楷體" w:hAnsi="Times New Roman" w:cs="Times New Roman"/>
          </w:rPr>
          <w:instrText xml:space="preserve"> NUMPAGES   \* MERGEFORMAT </w:instrText>
        </w:r>
        <w:r>
          <w:rPr>
            <w:rFonts w:ascii="Times New Roman" w:eastAsia="標楷體" w:hAnsi="Times New Roman" w:cs="Times New Roman"/>
          </w:rPr>
          <w:fldChar w:fldCharType="separate"/>
        </w:r>
        <w:r>
          <w:rPr>
            <w:rFonts w:ascii="Times New Roman" w:eastAsia="標楷體" w:hAnsi="Times New Roman" w:cs="Times New Roman"/>
            <w:noProof/>
          </w:rPr>
          <w:t>5</w:t>
        </w:r>
        <w:r>
          <w:rPr>
            <w:rFonts w:ascii="Times New Roman" w:eastAsia="標楷體" w:hAnsi="Times New Roman" w:cs="Times New Roman"/>
          </w:rPr>
          <w:fldChar w:fldCharType="end"/>
        </w:r>
        <w:r w:rsidRPr="003931A9">
          <w:rPr>
            <w:rFonts w:ascii="Times New Roman" w:eastAsia="標楷體" w:hAnsi="Times New Roman" w:cs="Times New Roman"/>
          </w:rPr>
          <w:t>頁</w:t>
        </w:r>
        <w:r w:rsidRPr="003931A9">
          <w:rPr>
            <w:rFonts w:ascii="Times New Roman" w:eastAsia="標楷體" w:hAnsi="Times New Roman" w:cs="Times New Roman"/>
          </w:rPr>
          <w:t>-</w:t>
        </w:r>
      </w:sdtContent>
    </w:sdt>
  </w:p>
  <w:p w14:paraId="664A1BAE" w14:textId="77777777" w:rsidR="003931A9" w:rsidRDefault="003931A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7F78C" w14:textId="77777777" w:rsidR="006E5909" w:rsidRDefault="006E5909" w:rsidP="009A6027">
      <w:r>
        <w:separator/>
      </w:r>
    </w:p>
  </w:footnote>
  <w:footnote w:type="continuationSeparator" w:id="0">
    <w:p w14:paraId="4378F85A" w14:textId="77777777" w:rsidR="006E5909" w:rsidRDefault="006E5909" w:rsidP="009A6027">
      <w:r>
        <w:continuationSeparator/>
      </w:r>
    </w:p>
  </w:footnote>
  <w:footnote w:id="1">
    <w:p w14:paraId="73EB1160" w14:textId="49877F0C" w:rsidR="0048175B" w:rsidRDefault="0048175B" w:rsidP="004C34A1">
      <w:pPr>
        <w:pStyle w:val="a5"/>
        <w:spacing w:line="240" w:lineRule="exact"/>
        <w:ind w:leftChars="14" w:left="134" w:rightChars="46" w:right="110" w:hangingChars="50" w:hanging="100"/>
        <w:jc w:val="both"/>
        <w:rPr>
          <w:rFonts w:asciiTheme="minorHAnsi" w:eastAsiaTheme="minorEastAsia" w:hAnsiTheme="minorHAnsi" w:cstheme="minorBidi"/>
        </w:rPr>
      </w:pPr>
      <w:r>
        <w:rPr>
          <w:rStyle w:val="a7"/>
        </w:rPr>
        <w:footnoteRef/>
      </w:r>
      <w:r>
        <w:rPr>
          <w:rFonts w:eastAsia="標楷體" w:hint="eastAsia"/>
        </w:rPr>
        <w:t>目前如尚未執行，請選擇「</w:t>
      </w:r>
      <w:r>
        <w:rPr>
          <w:rFonts w:eastAsia="標楷體"/>
        </w:rPr>
        <w:t>1</w:t>
      </w:r>
      <w:r>
        <w:rPr>
          <w:rFonts w:eastAsia="標楷體" w:hint="eastAsia"/>
        </w:rPr>
        <w:t>、目前尚未開始著手規劃」、「</w:t>
      </w:r>
      <w:r>
        <w:rPr>
          <w:rFonts w:eastAsia="標楷體"/>
        </w:rPr>
        <w:t>2</w:t>
      </w:r>
      <w:r>
        <w:rPr>
          <w:rFonts w:eastAsia="標楷體" w:hint="eastAsia"/>
        </w:rPr>
        <w:t>、刻正著手規劃」或「</w:t>
      </w:r>
      <w:r>
        <w:rPr>
          <w:rFonts w:eastAsia="標楷體"/>
        </w:rPr>
        <w:t>3</w:t>
      </w:r>
      <w:r>
        <w:rPr>
          <w:rFonts w:eastAsia="標楷體" w:hint="eastAsia"/>
        </w:rPr>
        <w:t>、其他」，並請說明預計辦理時程、規劃作法、尚未執行緣由或目前之狀況；若目前已執行，請選擇「</w:t>
      </w:r>
      <w:r>
        <w:rPr>
          <w:rFonts w:eastAsia="標楷體"/>
        </w:rPr>
        <w:t>4</w:t>
      </w:r>
      <w:r>
        <w:rPr>
          <w:rFonts w:eastAsia="標楷體" w:hint="eastAsia"/>
        </w:rPr>
        <w:t>、已有所規劃，惟尚未有相關執行內容」及「</w:t>
      </w:r>
      <w:r>
        <w:rPr>
          <w:rFonts w:eastAsia="標楷體"/>
        </w:rPr>
        <w:t>5</w:t>
      </w:r>
      <w:r>
        <w:rPr>
          <w:rFonts w:eastAsia="標楷體" w:hint="eastAsia"/>
        </w:rPr>
        <w:t>、依既有規劃時程，刻正執行中」及說明相關之規劃或執行情形，並檢附相關文件。</w:t>
      </w:r>
    </w:p>
  </w:footnote>
  <w:footnote w:id="2">
    <w:p w14:paraId="4B749789" w14:textId="62EA69C0" w:rsidR="00C82F36" w:rsidRDefault="00C82F36" w:rsidP="002A0C4B">
      <w:pPr>
        <w:pStyle w:val="Default"/>
        <w:spacing w:beforeLines="50" w:before="180" w:line="240" w:lineRule="exact"/>
        <w:ind w:left="240" w:hangingChars="100" w:hanging="240"/>
        <w:jc w:val="both"/>
      </w:pPr>
      <w:r>
        <w:rPr>
          <w:rStyle w:val="a7"/>
        </w:rPr>
        <w:footnoteRef/>
      </w:r>
      <w:r>
        <w:t xml:space="preserve"> </w:t>
      </w:r>
      <w:r w:rsidRPr="00C82F36">
        <w:rPr>
          <w:rFonts w:ascii="Times New Roman" w:eastAsia="標楷體" w:hAnsi="Times New Roman" w:cs="Times New Roman"/>
          <w:sz w:val="20"/>
          <w:szCs w:val="20"/>
        </w:rPr>
        <w:t>依據</w:t>
      </w:r>
      <w:r w:rsidRPr="00C82F36">
        <w:rPr>
          <w:rFonts w:ascii="Times New Roman" w:eastAsia="標楷體" w:hAnsi="Times New Roman" w:cs="Times New Roman"/>
          <w:color w:val="auto"/>
          <w:sz w:val="20"/>
          <w:szCs w:val="20"/>
        </w:rPr>
        <w:t>歐盟的永續金融揭露規範</w:t>
      </w:r>
      <w:r w:rsidRPr="00C82F36">
        <w:rPr>
          <w:rFonts w:ascii="Times New Roman" w:eastAsia="標楷體" w:hAnsi="Times New Roman" w:cs="Times New Roman"/>
          <w:color w:val="auto"/>
          <w:sz w:val="20"/>
          <w:szCs w:val="20"/>
        </w:rPr>
        <w:t>(SFD</w:t>
      </w:r>
      <w:r w:rsidRPr="009E30BB">
        <w:rPr>
          <w:rFonts w:ascii="Times New Roman" w:eastAsia="標楷體" w:hAnsi="Times New Roman" w:cs="Times New Roman"/>
          <w:color w:val="auto"/>
          <w:sz w:val="20"/>
          <w:szCs w:val="20"/>
        </w:rPr>
        <w:t>R)</w:t>
      </w:r>
      <w:r w:rsidRPr="009E30BB">
        <w:rPr>
          <w:rFonts w:ascii="Times New Roman" w:eastAsia="標楷體" w:hAnsi="Times New Roman" w:cs="Times New Roman"/>
          <w:color w:val="auto"/>
          <w:sz w:val="20"/>
          <w:szCs w:val="20"/>
        </w:rPr>
        <w:t>將</w:t>
      </w:r>
      <w:r w:rsidR="00F4351B" w:rsidRPr="009E30BB">
        <w:rPr>
          <w:rFonts w:ascii="Times New Roman" w:eastAsia="標楷體" w:hAnsi="Times New Roman" w:cs="Times New Roman" w:hint="eastAsia"/>
          <w:color w:val="auto"/>
          <w:sz w:val="20"/>
          <w:szCs w:val="20"/>
        </w:rPr>
        <w:t>永續相關風險</w:t>
      </w:r>
      <w:r w:rsidRPr="009E30BB">
        <w:rPr>
          <w:rFonts w:ascii="Times New Roman" w:eastAsia="標楷體" w:hAnsi="Times New Roman" w:cs="Times New Roman"/>
          <w:color w:val="auto"/>
          <w:sz w:val="20"/>
          <w:szCs w:val="20"/>
        </w:rPr>
        <w:t>定義為：倘若發生環境、社會或公司治理</w:t>
      </w:r>
      <w:r w:rsidRPr="009E30BB">
        <w:rPr>
          <w:rFonts w:ascii="Times New Roman" w:eastAsia="標楷體" w:hAnsi="Times New Roman" w:cs="Times New Roman"/>
          <w:color w:val="auto"/>
          <w:sz w:val="20"/>
          <w:szCs w:val="20"/>
        </w:rPr>
        <w:t>(ESG)</w:t>
      </w:r>
      <w:r w:rsidRPr="009E30BB">
        <w:rPr>
          <w:rFonts w:ascii="Times New Roman" w:eastAsia="標楷體" w:hAnsi="Times New Roman" w:cs="Times New Roman"/>
          <w:color w:val="auto"/>
          <w:sz w:val="20"/>
          <w:szCs w:val="20"/>
        </w:rPr>
        <w:t>的事件或情況，可能對投資價值造成實際或潛在重大負面影響</w:t>
      </w:r>
      <w:proofErr w:type="gramStart"/>
      <w:r w:rsidRPr="009E30BB">
        <w:rPr>
          <w:rFonts w:ascii="Times New Roman" w:eastAsia="標楷體" w:hAnsi="Times New Roman" w:cs="Times New Roman" w:hint="eastAsia"/>
          <w:color w:val="auto"/>
          <w:sz w:val="20"/>
          <w:szCs w:val="20"/>
        </w:rPr>
        <w:t>【</w:t>
      </w:r>
      <w:proofErr w:type="gramEnd"/>
      <w:r w:rsidRPr="009E30BB">
        <w:rPr>
          <w:rFonts w:ascii="Times New Roman" w:eastAsia="標楷體" w:hAnsi="Times New Roman" w:cs="Times New Roman" w:hint="eastAsia"/>
          <w:color w:val="auto"/>
          <w:sz w:val="20"/>
          <w:szCs w:val="20"/>
        </w:rPr>
        <w:t>網址</w:t>
      </w:r>
      <w:r>
        <w:rPr>
          <w:rFonts w:ascii="Times New Roman" w:eastAsia="標楷體" w:hAnsi="Times New Roman" w:cs="Times New Roman" w:hint="eastAsia"/>
          <w:color w:val="auto"/>
          <w:sz w:val="20"/>
          <w:szCs w:val="20"/>
        </w:rPr>
        <w:t>為</w:t>
      </w:r>
      <w:r>
        <w:rPr>
          <w:rFonts w:ascii="Times New Roman" w:eastAsia="標楷體" w:hAnsi="Times New Roman" w:cs="Times New Roman" w:hint="eastAsia"/>
          <w:color w:val="auto"/>
          <w:sz w:val="20"/>
          <w:szCs w:val="20"/>
        </w:rPr>
        <w:t>:</w:t>
      </w:r>
      <w:hyperlink r:id="rId1" w:history="1">
        <w:r w:rsidR="002A0C4B" w:rsidRPr="00656610">
          <w:rPr>
            <w:rStyle w:val="a8"/>
            <w:rFonts w:ascii="Times New Roman" w:eastAsia="標楷體" w:hAnsi="Times New Roman" w:cs="Times New Roman"/>
            <w:sz w:val="20"/>
            <w:szCs w:val="20"/>
          </w:rPr>
          <w:t>https://eur-lex.europa.eu/legal-content/EN/TXT/?uri=CELEX:32019R2088</w:t>
        </w:r>
      </w:hyperlink>
      <w:r w:rsidRPr="00C82F36">
        <w:rPr>
          <w:rFonts w:ascii="Times New Roman" w:eastAsia="標楷體" w:hAnsi="Times New Roman" w:cs="Times New Roman" w:hint="eastAsia"/>
          <w:color w:val="auto"/>
          <w:sz w:val="20"/>
          <w:szCs w:val="20"/>
        </w:rPr>
        <w:t>】</w:t>
      </w:r>
      <w:r>
        <w:rPr>
          <w:rFonts w:ascii="Times New Roman" w:eastAsia="標楷體" w:hAnsi="Times New Roman" w:cs="Times New Roman" w:hint="eastAsia"/>
          <w:color w:val="auto"/>
          <w:sz w:val="20"/>
          <w:szCs w:val="20"/>
        </w:rPr>
        <w:t>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900pt;height:684pt" o:bullet="t">
        <v:imagedata r:id="rId1" o:title="clip_image001"/>
      </v:shape>
    </w:pict>
  </w:numPicBullet>
  <w:abstractNum w:abstractNumId="0" w15:restartNumberingAfterBreak="0">
    <w:nsid w:val="0C62366A"/>
    <w:multiLevelType w:val="hybridMultilevel"/>
    <w:tmpl w:val="A238D74C"/>
    <w:lvl w:ilvl="0" w:tplc="4B3CC2E6">
      <w:start w:val="1"/>
      <w:numFmt w:val="taiwaneseCountingThousand"/>
      <w:lvlText w:val="%1、"/>
      <w:lvlJc w:val="left"/>
      <w:pPr>
        <w:ind w:left="6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" w15:restartNumberingAfterBreak="0">
    <w:nsid w:val="59060E6B"/>
    <w:multiLevelType w:val="hybridMultilevel"/>
    <w:tmpl w:val="97AE9362"/>
    <w:lvl w:ilvl="0" w:tplc="92483FBE">
      <w:start w:val="1"/>
      <w:numFmt w:val="bullet"/>
      <w:lvlText w:val=""/>
      <w:lvlPicBulletId w:val="0"/>
      <w:lvlJc w:val="left"/>
      <w:pPr>
        <w:tabs>
          <w:tab w:val="num" w:pos="480"/>
        </w:tabs>
        <w:ind w:left="480" w:firstLine="0"/>
      </w:pPr>
      <w:rPr>
        <w:rFonts w:ascii="Symbol" w:hAnsi="Symbol" w:hint="default"/>
        <w:sz w:val="28"/>
        <w:szCs w:val="28"/>
      </w:rPr>
    </w:lvl>
    <w:lvl w:ilvl="1" w:tplc="878A49FE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267230A6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CC989E8E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1F0C5AD0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7518A81C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A8F8DA72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DD00C2F0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183E4C2C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abstractNum w:abstractNumId="2" w15:restartNumberingAfterBreak="0">
    <w:nsid w:val="647B1B76"/>
    <w:multiLevelType w:val="hybridMultilevel"/>
    <w:tmpl w:val="43684552"/>
    <w:lvl w:ilvl="0" w:tplc="B830A29C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/>
      </w:rPr>
    </w:lvl>
    <w:lvl w:ilvl="1" w:tplc="04090019" w:tentative="1">
      <w:start w:val="1"/>
      <w:numFmt w:val="ideographTraditional"/>
      <w:lvlText w:val="%2、"/>
      <w:lvlJc w:val="left"/>
      <w:pPr>
        <w:ind w:left="1812" w:hanging="480"/>
      </w:pPr>
    </w:lvl>
    <w:lvl w:ilvl="2" w:tplc="0409001B" w:tentative="1">
      <w:start w:val="1"/>
      <w:numFmt w:val="lowerRoman"/>
      <w:lvlText w:val="%3."/>
      <w:lvlJc w:val="right"/>
      <w:pPr>
        <w:ind w:left="2292" w:hanging="480"/>
      </w:pPr>
    </w:lvl>
    <w:lvl w:ilvl="3" w:tplc="0409000F" w:tentative="1">
      <w:start w:val="1"/>
      <w:numFmt w:val="decimal"/>
      <w:lvlText w:val="%4."/>
      <w:lvlJc w:val="left"/>
      <w:pPr>
        <w:ind w:left="27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2" w:hanging="480"/>
      </w:pPr>
    </w:lvl>
    <w:lvl w:ilvl="5" w:tplc="0409001B" w:tentative="1">
      <w:start w:val="1"/>
      <w:numFmt w:val="lowerRoman"/>
      <w:lvlText w:val="%6."/>
      <w:lvlJc w:val="right"/>
      <w:pPr>
        <w:ind w:left="3732" w:hanging="480"/>
      </w:pPr>
    </w:lvl>
    <w:lvl w:ilvl="6" w:tplc="0409000F" w:tentative="1">
      <w:start w:val="1"/>
      <w:numFmt w:val="decimal"/>
      <w:lvlText w:val="%7."/>
      <w:lvlJc w:val="left"/>
      <w:pPr>
        <w:ind w:left="42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2" w:hanging="480"/>
      </w:pPr>
    </w:lvl>
    <w:lvl w:ilvl="8" w:tplc="0409001B" w:tentative="1">
      <w:start w:val="1"/>
      <w:numFmt w:val="lowerRoman"/>
      <w:lvlText w:val="%9."/>
      <w:lvlJc w:val="right"/>
      <w:pPr>
        <w:ind w:left="5172" w:hanging="480"/>
      </w:pPr>
    </w:lvl>
  </w:abstractNum>
  <w:abstractNum w:abstractNumId="3" w15:restartNumberingAfterBreak="0">
    <w:nsid w:val="68D44B34"/>
    <w:multiLevelType w:val="hybridMultilevel"/>
    <w:tmpl w:val="443C0682"/>
    <w:lvl w:ilvl="0" w:tplc="9FB6820A">
      <w:start w:val="1"/>
      <w:numFmt w:val="taiwaneseCountingThousand"/>
      <w:lvlText w:val="(%1)"/>
      <w:lvlJc w:val="left"/>
      <w:pPr>
        <w:ind w:left="520" w:hanging="4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num w:numId="1" w16cid:durableId="2044281566">
    <w:abstractNumId w:val="1"/>
  </w:num>
  <w:num w:numId="2" w16cid:durableId="838615579">
    <w:abstractNumId w:val="2"/>
  </w:num>
  <w:num w:numId="3" w16cid:durableId="2047756631">
    <w:abstractNumId w:val="3"/>
  </w:num>
  <w:num w:numId="4" w16cid:durableId="2134403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9B8"/>
    <w:rsid w:val="000206FF"/>
    <w:rsid w:val="00041508"/>
    <w:rsid w:val="00051D26"/>
    <w:rsid w:val="0007497A"/>
    <w:rsid w:val="00083CE6"/>
    <w:rsid w:val="000863BA"/>
    <w:rsid w:val="0008672C"/>
    <w:rsid w:val="000971A3"/>
    <w:rsid w:val="000977F5"/>
    <w:rsid w:val="000A2398"/>
    <w:rsid w:val="000A65C3"/>
    <w:rsid w:val="000D6CDF"/>
    <w:rsid w:val="00101E85"/>
    <w:rsid w:val="001041A5"/>
    <w:rsid w:val="00110529"/>
    <w:rsid w:val="001125BE"/>
    <w:rsid w:val="00114076"/>
    <w:rsid w:val="001150B5"/>
    <w:rsid w:val="00121245"/>
    <w:rsid w:val="00121C40"/>
    <w:rsid w:val="00123E45"/>
    <w:rsid w:val="001466E9"/>
    <w:rsid w:val="00185D63"/>
    <w:rsid w:val="001B734B"/>
    <w:rsid w:val="001C03D7"/>
    <w:rsid w:val="001D1D17"/>
    <w:rsid w:val="001E3B8D"/>
    <w:rsid w:val="001F729C"/>
    <w:rsid w:val="002039E1"/>
    <w:rsid w:val="002043B8"/>
    <w:rsid w:val="002062D1"/>
    <w:rsid w:val="0021663E"/>
    <w:rsid w:val="00237449"/>
    <w:rsid w:val="00262CFF"/>
    <w:rsid w:val="00267EB2"/>
    <w:rsid w:val="00274CA6"/>
    <w:rsid w:val="002801B1"/>
    <w:rsid w:val="002A07EF"/>
    <w:rsid w:val="002A0C4B"/>
    <w:rsid w:val="002A455A"/>
    <w:rsid w:val="002C2257"/>
    <w:rsid w:val="002D10DB"/>
    <w:rsid w:val="002E73EE"/>
    <w:rsid w:val="0033307B"/>
    <w:rsid w:val="00336902"/>
    <w:rsid w:val="0033751F"/>
    <w:rsid w:val="00343872"/>
    <w:rsid w:val="00352C1A"/>
    <w:rsid w:val="00357934"/>
    <w:rsid w:val="00371360"/>
    <w:rsid w:val="003931A9"/>
    <w:rsid w:val="00393E58"/>
    <w:rsid w:val="00397D78"/>
    <w:rsid w:val="003B6F4F"/>
    <w:rsid w:val="003B732D"/>
    <w:rsid w:val="003C290C"/>
    <w:rsid w:val="003D03B9"/>
    <w:rsid w:val="003D2254"/>
    <w:rsid w:val="003D674E"/>
    <w:rsid w:val="003E1349"/>
    <w:rsid w:val="003E182D"/>
    <w:rsid w:val="003E21BA"/>
    <w:rsid w:val="004065C6"/>
    <w:rsid w:val="00411E6F"/>
    <w:rsid w:val="0041546D"/>
    <w:rsid w:val="00416718"/>
    <w:rsid w:val="00416808"/>
    <w:rsid w:val="00417DFD"/>
    <w:rsid w:val="00465A2D"/>
    <w:rsid w:val="00465E44"/>
    <w:rsid w:val="00471741"/>
    <w:rsid w:val="00471A04"/>
    <w:rsid w:val="004779B4"/>
    <w:rsid w:val="0048175B"/>
    <w:rsid w:val="0048546D"/>
    <w:rsid w:val="004917B9"/>
    <w:rsid w:val="00492396"/>
    <w:rsid w:val="004C34A1"/>
    <w:rsid w:val="004D29B8"/>
    <w:rsid w:val="004D581F"/>
    <w:rsid w:val="00531B75"/>
    <w:rsid w:val="005379D3"/>
    <w:rsid w:val="00551DA9"/>
    <w:rsid w:val="005526FD"/>
    <w:rsid w:val="00565DB2"/>
    <w:rsid w:val="0056728C"/>
    <w:rsid w:val="005773C0"/>
    <w:rsid w:val="005A1610"/>
    <w:rsid w:val="005A5D12"/>
    <w:rsid w:val="005A7943"/>
    <w:rsid w:val="00600C86"/>
    <w:rsid w:val="00622397"/>
    <w:rsid w:val="00631FC7"/>
    <w:rsid w:val="00657C8F"/>
    <w:rsid w:val="00662035"/>
    <w:rsid w:val="00666A40"/>
    <w:rsid w:val="006950B5"/>
    <w:rsid w:val="006A54F7"/>
    <w:rsid w:val="006B2E54"/>
    <w:rsid w:val="006C5F9A"/>
    <w:rsid w:val="006C65EE"/>
    <w:rsid w:val="006E2B4E"/>
    <w:rsid w:val="006E5909"/>
    <w:rsid w:val="006F0283"/>
    <w:rsid w:val="007201FB"/>
    <w:rsid w:val="00734B9C"/>
    <w:rsid w:val="0074039F"/>
    <w:rsid w:val="00741323"/>
    <w:rsid w:val="00743FD9"/>
    <w:rsid w:val="0074427F"/>
    <w:rsid w:val="00772451"/>
    <w:rsid w:val="007819EC"/>
    <w:rsid w:val="007B0C36"/>
    <w:rsid w:val="007B792A"/>
    <w:rsid w:val="007C4F44"/>
    <w:rsid w:val="007C6C31"/>
    <w:rsid w:val="007E2642"/>
    <w:rsid w:val="007E38CE"/>
    <w:rsid w:val="007E5EF1"/>
    <w:rsid w:val="007E7A22"/>
    <w:rsid w:val="007F218B"/>
    <w:rsid w:val="00800258"/>
    <w:rsid w:val="00801839"/>
    <w:rsid w:val="00803641"/>
    <w:rsid w:val="00844E71"/>
    <w:rsid w:val="00851EC5"/>
    <w:rsid w:val="008A0A85"/>
    <w:rsid w:val="008B3B80"/>
    <w:rsid w:val="008C380C"/>
    <w:rsid w:val="008C6FE3"/>
    <w:rsid w:val="008D05EA"/>
    <w:rsid w:val="008D3D6B"/>
    <w:rsid w:val="008E4C9D"/>
    <w:rsid w:val="008F53B3"/>
    <w:rsid w:val="008F73A7"/>
    <w:rsid w:val="00905CA6"/>
    <w:rsid w:val="00927B52"/>
    <w:rsid w:val="00942444"/>
    <w:rsid w:val="009500AC"/>
    <w:rsid w:val="00952063"/>
    <w:rsid w:val="00961D6F"/>
    <w:rsid w:val="00971DDD"/>
    <w:rsid w:val="0099399A"/>
    <w:rsid w:val="009A12A2"/>
    <w:rsid w:val="009A6027"/>
    <w:rsid w:val="009A69D8"/>
    <w:rsid w:val="009B533F"/>
    <w:rsid w:val="009C1FA2"/>
    <w:rsid w:val="009D507F"/>
    <w:rsid w:val="009E30BB"/>
    <w:rsid w:val="009E395A"/>
    <w:rsid w:val="00A01CA7"/>
    <w:rsid w:val="00A144B3"/>
    <w:rsid w:val="00A176BB"/>
    <w:rsid w:val="00A25EA6"/>
    <w:rsid w:val="00A500BA"/>
    <w:rsid w:val="00A50CF9"/>
    <w:rsid w:val="00A55C13"/>
    <w:rsid w:val="00A5722C"/>
    <w:rsid w:val="00A619C3"/>
    <w:rsid w:val="00A70639"/>
    <w:rsid w:val="00A925B7"/>
    <w:rsid w:val="00AB0783"/>
    <w:rsid w:val="00AB2714"/>
    <w:rsid w:val="00AB30A4"/>
    <w:rsid w:val="00AC20FC"/>
    <w:rsid w:val="00AD484C"/>
    <w:rsid w:val="00AD6DC6"/>
    <w:rsid w:val="00AE686C"/>
    <w:rsid w:val="00AF7C32"/>
    <w:rsid w:val="00B17D04"/>
    <w:rsid w:val="00B310F2"/>
    <w:rsid w:val="00B35EF3"/>
    <w:rsid w:val="00B37634"/>
    <w:rsid w:val="00B52A4F"/>
    <w:rsid w:val="00B55EA8"/>
    <w:rsid w:val="00B64844"/>
    <w:rsid w:val="00B659A1"/>
    <w:rsid w:val="00B6728A"/>
    <w:rsid w:val="00B81F16"/>
    <w:rsid w:val="00B85D6F"/>
    <w:rsid w:val="00BA49BF"/>
    <w:rsid w:val="00BF3E47"/>
    <w:rsid w:val="00C050FA"/>
    <w:rsid w:val="00C1153C"/>
    <w:rsid w:val="00C37B2E"/>
    <w:rsid w:val="00C511E5"/>
    <w:rsid w:val="00C55B4A"/>
    <w:rsid w:val="00C7196C"/>
    <w:rsid w:val="00C72383"/>
    <w:rsid w:val="00C80213"/>
    <w:rsid w:val="00C82F36"/>
    <w:rsid w:val="00C8711E"/>
    <w:rsid w:val="00C9216D"/>
    <w:rsid w:val="00CB5BE5"/>
    <w:rsid w:val="00CB722C"/>
    <w:rsid w:val="00CC7825"/>
    <w:rsid w:val="00CF2E43"/>
    <w:rsid w:val="00D26F5B"/>
    <w:rsid w:val="00D40F67"/>
    <w:rsid w:val="00D60681"/>
    <w:rsid w:val="00D664B6"/>
    <w:rsid w:val="00D765D0"/>
    <w:rsid w:val="00D93451"/>
    <w:rsid w:val="00DA0277"/>
    <w:rsid w:val="00DA59F2"/>
    <w:rsid w:val="00DA5D6C"/>
    <w:rsid w:val="00DC789E"/>
    <w:rsid w:val="00DD6988"/>
    <w:rsid w:val="00DE067F"/>
    <w:rsid w:val="00E20D9F"/>
    <w:rsid w:val="00E242A9"/>
    <w:rsid w:val="00E31F9C"/>
    <w:rsid w:val="00E43BCE"/>
    <w:rsid w:val="00E46FA9"/>
    <w:rsid w:val="00E84290"/>
    <w:rsid w:val="00E84F1D"/>
    <w:rsid w:val="00E85965"/>
    <w:rsid w:val="00E86AA3"/>
    <w:rsid w:val="00EA0AC2"/>
    <w:rsid w:val="00EA23AD"/>
    <w:rsid w:val="00EA68B5"/>
    <w:rsid w:val="00F01B04"/>
    <w:rsid w:val="00F2057D"/>
    <w:rsid w:val="00F24374"/>
    <w:rsid w:val="00F4351B"/>
    <w:rsid w:val="00F475EA"/>
    <w:rsid w:val="00F80DAC"/>
    <w:rsid w:val="00F92553"/>
    <w:rsid w:val="00FA27BC"/>
    <w:rsid w:val="00FB3FA8"/>
    <w:rsid w:val="00FE36F9"/>
    <w:rsid w:val="00FE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B99168"/>
  <w15:chartTrackingRefBased/>
  <w15:docId w15:val="{23CBBC64-84AA-4E31-9617-1DE39BCCC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uiPriority w:val="9"/>
    <w:qFormat/>
    <w:rsid w:val="002A455A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73A7"/>
    <w:pPr>
      <w:ind w:leftChars="200" w:left="480"/>
    </w:pPr>
    <w:rPr>
      <w:rFonts w:ascii="Calibri" w:eastAsia="新細明體" w:hAnsi="Calibri" w:cs="Times New Roman"/>
    </w:rPr>
  </w:style>
  <w:style w:type="table" w:customStyle="1" w:styleId="1">
    <w:name w:val="表格格線1"/>
    <w:basedOn w:val="a1"/>
    <w:next w:val="a3"/>
    <w:uiPriority w:val="39"/>
    <w:rsid w:val="008F73A7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rsid w:val="009A6027"/>
    <w:pPr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6">
    <w:name w:val="註腳文字 字元"/>
    <w:basedOn w:val="a0"/>
    <w:link w:val="a5"/>
    <w:uiPriority w:val="99"/>
    <w:rsid w:val="009A6027"/>
    <w:rPr>
      <w:rFonts w:ascii="Times New Roman" w:eastAsia="新細明體" w:hAnsi="Times New Roman" w:cs="Times New Roman"/>
      <w:sz w:val="20"/>
      <w:szCs w:val="20"/>
    </w:rPr>
  </w:style>
  <w:style w:type="character" w:styleId="a7">
    <w:name w:val="footnote reference"/>
    <w:uiPriority w:val="99"/>
    <w:rsid w:val="009A6027"/>
    <w:rPr>
      <w:vertAlign w:val="superscript"/>
    </w:rPr>
  </w:style>
  <w:style w:type="character" w:styleId="a8">
    <w:name w:val="Hyperlink"/>
    <w:basedOn w:val="a0"/>
    <w:uiPriority w:val="99"/>
    <w:unhideWhenUsed/>
    <w:rsid w:val="000206FF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0206F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semiHidden/>
    <w:rsid w:val="000206FF"/>
    <w:rPr>
      <w:rFonts w:ascii="細明體" w:eastAsia="細明體" w:hAnsi="細明體" w:cs="細明體"/>
      <w:kern w:val="0"/>
      <w:szCs w:val="24"/>
    </w:rPr>
  </w:style>
  <w:style w:type="paragraph" w:styleId="a9">
    <w:name w:val="header"/>
    <w:basedOn w:val="a"/>
    <w:link w:val="aa"/>
    <w:uiPriority w:val="99"/>
    <w:unhideWhenUsed/>
    <w:rsid w:val="00961D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961D6F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961D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961D6F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2A455A"/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ad">
    <w:name w:val="Revision"/>
    <w:hidden/>
    <w:uiPriority w:val="99"/>
    <w:semiHidden/>
    <w:rsid w:val="009A69D8"/>
  </w:style>
  <w:style w:type="paragraph" w:customStyle="1" w:styleId="Default">
    <w:name w:val="Default"/>
    <w:rsid w:val="00C82F36"/>
    <w:pPr>
      <w:widowControl w:val="0"/>
      <w:autoSpaceDE w:val="0"/>
      <w:autoSpaceDN w:val="0"/>
      <w:adjustRightInd w:val="0"/>
    </w:pPr>
    <w:rPr>
      <w:rFonts w:ascii="微軟正黑體" w:eastAsia="微軟正黑體" w:cs="微軟正黑體"/>
      <w:color w:val="000000"/>
      <w:kern w:val="0"/>
      <w:szCs w:val="24"/>
    </w:rPr>
  </w:style>
  <w:style w:type="paragraph" w:customStyle="1" w:styleId="doc-ti">
    <w:name w:val="doc-ti"/>
    <w:basedOn w:val="a"/>
    <w:rsid w:val="00C82F3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e">
    <w:name w:val="Unresolved Mention"/>
    <w:basedOn w:val="a0"/>
    <w:uiPriority w:val="99"/>
    <w:semiHidden/>
    <w:unhideWhenUsed/>
    <w:rsid w:val="00C82F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w.moj.gov.tw/LawClass/LawAll.aspx?pcode=G0380104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aw.lia-roc.org.tw/Law/Content?lsid=FL03401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aw.lia-roc.org.tw/Law/Content?lsid=FL03401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selaw.com.tw/LawContent.aspx?LawID=G010028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elaw.com.tw/LawContent.aspx?LawID=G0100021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EN/TXT/?uri=CELEX:32019R2088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086DF-F17E-4156-81F5-1760019C7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437</Words>
  <Characters>2491</Characters>
  <Application>Microsoft Office Word</Application>
  <DocSecurity>0</DocSecurity>
  <Lines>20</Lines>
  <Paragraphs>5</Paragraphs>
  <ScaleCrop>false</ScaleCrop>
  <Company>Financial Examination Bureau</Company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賴科宏</dc:creator>
  <cp:keywords/>
  <dc:description/>
  <cp:lastModifiedBy>沈菀蓉</cp:lastModifiedBy>
  <cp:revision>2</cp:revision>
  <cp:lastPrinted>2023-12-22T06:53:00Z</cp:lastPrinted>
  <dcterms:created xsi:type="dcterms:W3CDTF">2024-01-16T06:07:00Z</dcterms:created>
  <dcterms:modified xsi:type="dcterms:W3CDTF">2024-01-16T06:07:00Z</dcterms:modified>
</cp:coreProperties>
</file>